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46" w:type="dxa"/>
        <w:tblInd w:w="-4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4140"/>
        <w:gridCol w:w="10706"/>
      </w:tblGrid>
      <w:tr w:rsidR="00487368" w:rsidTr="00A95FA0">
        <w:trPr>
          <w:trHeight w:val="817"/>
        </w:trPr>
        <w:tc>
          <w:tcPr>
            <w:tcW w:w="14846" w:type="dxa"/>
            <w:gridSpan w:val="2"/>
            <w:shd w:val="clear" w:color="auto" w:fill="auto"/>
          </w:tcPr>
          <w:p w:rsidR="00487368" w:rsidRPr="00C176A4" w:rsidRDefault="00487368" w:rsidP="00C176A4">
            <w:pPr>
              <w:tabs>
                <w:tab w:val="left" w:pos="3832"/>
              </w:tabs>
              <w:jc w:val="center"/>
              <w:rPr>
                <w:b/>
              </w:rPr>
            </w:pPr>
            <w:bookmarkStart w:id="0" w:name="_GoBack"/>
            <w:bookmarkEnd w:id="0"/>
            <w:r w:rsidRPr="00C176A4">
              <w:rPr>
                <w:b/>
              </w:rPr>
              <w:t>OBRAZAC</w:t>
            </w:r>
          </w:p>
          <w:p w:rsidR="00487368" w:rsidRPr="00C176A4" w:rsidRDefault="00485374" w:rsidP="00C176A4">
            <w:pPr>
              <w:jc w:val="center"/>
              <w:rPr>
                <w:b/>
              </w:rPr>
            </w:pPr>
            <w:r w:rsidRPr="00C176A4">
              <w:rPr>
                <w:b/>
              </w:rPr>
              <w:t>i</w:t>
            </w:r>
            <w:r w:rsidR="00487368" w:rsidRPr="00C176A4">
              <w:rPr>
                <w:b/>
              </w:rPr>
              <w:t>zvješća</w:t>
            </w:r>
            <w:r w:rsidR="009A5822" w:rsidRPr="00C176A4">
              <w:rPr>
                <w:b/>
              </w:rPr>
              <w:t xml:space="preserve"> o provedenom savjetovanju s </w:t>
            </w:r>
            <w:r w:rsidR="00487368" w:rsidRPr="00C176A4">
              <w:rPr>
                <w:b/>
              </w:rPr>
              <w:t>javnošću</w:t>
            </w:r>
          </w:p>
          <w:p w:rsidR="00487368" w:rsidRDefault="00487368" w:rsidP="00487368"/>
        </w:tc>
      </w:tr>
      <w:tr w:rsidR="00487368" w:rsidTr="00A95FA0">
        <w:trPr>
          <w:trHeight w:val="500"/>
        </w:trPr>
        <w:tc>
          <w:tcPr>
            <w:tcW w:w="4140" w:type="dxa"/>
            <w:tcBorders>
              <w:right w:val="single" w:sz="4" w:space="0" w:color="auto"/>
            </w:tcBorders>
            <w:shd w:val="clear" w:color="auto" w:fill="auto"/>
            <w:vAlign w:val="center"/>
          </w:tcPr>
          <w:p w:rsidR="00487368" w:rsidRPr="00C176A4" w:rsidRDefault="00487368" w:rsidP="00487368">
            <w:pPr>
              <w:rPr>
                <w:b/>
              </w:rPr>
            </w:pPr>
            <w:r w:rsidRPr="00C176A4">
              <w:rPr>
                <w:b/>
              </w:rPr>
              <w:t xml:space="preserve">Naziv nacrta odluke ili drugog općeg akta o kojem je savjetovanje provedeno </w:t>
            </w:r>
          </w:p>
        </w:tc>
        <w:tc>
          <w:tcPr>
            <w:tcW w:w="10706" w:type="dxa"/>
            <w:tcBorders>
              <w:left w:val="single" w:sz="4" w:space="0" w:color="auto"/>
            </w:tcBorders>
            <w:shd w:val="clear" w:color="auto" w:fill="auto"/>
            <w:vAlign w:val="center"/>
          </w:tcPr>
          <w:p w:rsidR="00487368" w:rsidRPr="00C176A4" w:rsidRDefault="000208E2" w:rsidP="00C176A4">
            <w:pPr>
              <w:jc w:val="both"/>
              <w:rPr>
                <w:b/>
              </w:rPr>
            </w:pPr>
            <w:r>
              <w:rPr>
                <w:b/>
              </w:rPr>
              <w:t>Odluka o Stipendiji Grada Zagreba za učenike i studente na temelju socio-ekonomskog statusa</w:t>
            </w:r>
          </w:p>
        </w:tc>
      </w:tr>
      <w:tr w:rsidR="00487368" w:rsidTr="00A95FA0">
        <w:trPr>
          <w:trHeight w:val="932"/>
        </w:trPr>
        <w:tc>
          <w:tcPr>
            <w:tcW w:w="4140" w:type="dxa"/>
            <w:tcBorders>
              <w:right w:val="single" w:sz="4" w:space="0" w:color="auto"/>
            </w:tcBorders>
            <w:shd w:val="clear" w:color="auto" w:fill="auto"/>
            <w:vAlign w:val="center"/>
          </w:tcPr>
          <w:p w:rsidR="00487368" w:rsidRPr="00C176A4" w:rsidRDefault="00487368" w:rsidP="00487368">
            <w:pPr>
              <w:rPr>
                <w:b/>
              </w:rPr>
            </w:pPr>
            <w:r w:rsidRPr="00C176A4">
              <w:rPr>
                <w:b/>
              </w:rPr>
              <w:t>Nositelj izrade nacrta akta (gradsko upravno tijelo koje je provelo savjetovanje)</w:t>
            </w:r>
          </w:p>
        </w:tc>
        <w:tc>
          <w:tcPr>
            <w:tcW w:w="10706" w:type="dxa"/>
            <w:tcBorders>
              <w:left w:val="single" w:sz="4" w:space="0" w:color="auto"/>
            </w:tcBorders>
            <w:shd w:val="clear" w:color="auto" w:fill="auto"/>
            <w:vAlign w:val="center"/>
          </w:tcPr>
          <w:p w:rsidR="00423E43" w:rsidRDefault="00423E43" w:rsidP="00423E43">
            <w:pPr>
              <w:jc w:val="both"/>
              <w:rPr>
                <w:rFonts w:eastAsia="Calibri"/>
                <w:lang w:eastAsia="en-US"/>
              </w:rPr>
            </w:pPr>
            <w:r>
              <w:rPr>
                <w:rFonts w:eastAsia="Calibri"/>
                <w:lang w:eastAsia="en-US"/>
              </w:rPr>
              <w:t xml:space="preserve">Gradski ured za </w:t>
            </w:r>
            <w:r w:rsidR="000208E2">
              <w:rPr>
                <w:rFonts w:eastAsia="Calibri"/>
                <w:lang w:eastAsia="en-US"/>
              </w:rPr>
              <w:t>socijalnu zaštitu i osobe s invaliditetom</w:t>
            </w:r>
          </w:p>
          <w:p w:rsidR="00423E43" w:rsidRDefault="00423E43" w:rsidP="00423E43">
            <w:pPr>
              <w:ind w:left="705"/>
              <w:jc w:val="both"/>
              <w:rPr>
                <w:rFonts w:eastAsia="Calibri"/>
                <w:lang w:eastAsia="en-US"/>
              </w:rPr>
            </w:pPr>
          </w:p>
          <w:p w:rsidR="00487368" w:rsidRPr="00C176A4" w:rsidRDefault="00487368" w:rsidP="00C176A4">
            <w:pPr>
              <w:jc w:val="both"/>
              <w:rPr>
                <w:b/>
              </w:rPr>
            </w:pPr>
          </w:p>
        </w:tc>
      </w:tr>
      <w:tr w:rsidR="00487368" w:rsidTr="00A95FA0">
        <w:trPr>
          <w:trHeight w:val="561"/>
        </w:trPr>
        <w:tc>
          <w:tcPr>
            <w:tcW w:w="4140" w:type="dxa"/>
            <w:tcBorders>
              <w:right w:val="single" w:sz="4" w:space="0" w:color="auto"/>
            </w:tcBorders>
            <w:shd w:val="clear" w:color="auto" w:fill="auto"/>
            <w:vAlign w:val="center"/>
          </w:tcPr>
          <w:p w:rsidR="00487368" w:rsidRPr="00C176A4" w:rsidRDefault="00487368" w:rsidP="00C176A4">
            <w:pPr>
              <w:jc w:val="both"/>
              <w:rPr>
                <w:b/>
              </w:rPr>
            </w:pPr>
            <w:r w:rsidRPr="00C176A4">
              <w:rPr>
                <w:b/>
              </w:rPr>
              <w:t>Vrijeme trajanja savjetovanja</w:t>
            </w:r>
          </w:p>
        </w:tc>
        <w:tc>
          <w:tcPr>
            <w:tcW w:w="10706" w:type="dxa"/>
            <w:tcBorders>
              <w:left w:val="single" w:sz="4" w:space="0" w:color="auto"/>
            </w:tcBorders>
            <w:shd w:val="clear" w:color="auto" w:fill="auto"/>
            <w:vAlign w:val="center"/>
          </w:tcPr>
          <w:p w:rsidR="00487368" w:rsidRPr="00423E43" w:rsidRDefault="000208E2" w:rsidP="00C176A4">
            <w:pPr>
              <w:jc w:val="both"/>
            </w:pPr>
            <w:r>
              <w:t>15.9.</w:t>
            </w:r>
            <w:r w:rsidR="002E5CD1">
              <w:t>2021.</w:t>
            </w:r>
            <w:r>
              <w:t xml:space="preserve"> – 15.10.2021</w:t>
            </w:r>
            <w:r w:rsidR="00D36A6C">
              <w:t>.</w:t>
            </w:r>
          </w:p>
        </w:tc>
      </w:tr>
      <w:tr w:rsidR="00487368" w:rsidTr="00A95FA0">
        <w:trPr>
          <w:trHeight w:val="561"/>
        </w:trPr>
        <w:tc>
          <w:tcPr>
            <w:tcW w:w="4140" w:type="dxa"/>
            <w:tcBorders>
              <w:right w:val="single" w:sz="4" w:space="0" w:color="auto"/>
            </w:tcBorders>
            <w:shd w:val="clear" w:color="auto" w:fill="auto"/>
            <w:vAlign w:val="center"/>
          </w:tcPr>
          <w:p w:rsidR="00487368" w:rsidRPr="00C176A4" w:rsidRDefault="00487368" w:rsidP="00C176A4">
            <w:pPr>
              <w:jc w:val="both"/>
              <w:rPr>
                <w:b/>
              </w:rPr>
            </w:pPr>
            <w:r w:rsidRPr="00C176A4">
              <w:rPr>
                <w:b/>
              </w:rPr>
              <w:t xml:space="preserve">Metoda savjetovanja </w:t>
            </w:r>
          </w:p>
        </w:tc>
        <w:tc>
          <w:tcPr>
            <w:tcW w:w="10706" w:type="dxa"/>
            <w:tcBorders>
              <w:left w:val="single" w:sz="4" w:space="0" w:color="auto"/>
            </w:tcBorders>
            <w:shd w:val="clear" w:color="auto" w:fill="auto"/>
            <w:vAlign w:val="center"/>
          </w:tcPr>
          <w:p w:rsidR="00487368" w:rsidRPr="00423E43" w:rsidRDefault="00423E43" w:rsidP="00C176A4">
            <w:pPr>
              <w:jc w:val="both"/>
            </w:pPr>
            <w:r w:rsidRPr="00423E43">
              <w:t>Internetsko savjetovanje</w:t>
            </w:r>
          </w:p>
        </w:tc>
      </w:tr>
    </w:tbl>
    <w:p w:rsidR="00487368" w:rsidRDefault="00487368" w:rsidP="00487368"/>
    <w:tbl>
      <w:tblPr>
        <w:tblW w:w="148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843"/>
        <w:gridCol w:w="1701"/>
        <w:gridCol w:w="5812"/>
        <w:gridCol w:w="4961"/>
      </w:tblGrid>
      <w:tr w:rsidR="00487368" w:rsidTr="001A1654">
        <w:tc>
          <w:tcPr>
            <w:tcW w:w="529" w:type="dxa"/>
            <w:tcBorders>
              <w:top w:val="thinThickSmallGap" w:sz="24" w:space="0" w:color="auto"/>
              <w:left w:val="thinThickSmallGap" w:sz="24" w:space="0" w:color="auto"/>
            </w:tcBorders>
            <w:shd w:val="clear" w:color="auto" w:fill="auto"/>
            <w:vAlign w:val="center"/>
          </w:tcPr>
          <w:p w:rsidR="00487368" w:rsidRPr="000021A1" w:rsidRDefault="00487368" w:rsidP="00C176A4">
            <w:pPr>
              <w:jc w:val="center"/>
            </w:pPr>
            <w:r w:rsidRPr="000021A1">
              <w:t>Red. br.</w:t>
            </w:r>
          </w:p>
        </w:tc>
        <w:tc>
          <w:tcPr>
            <w:tcW w:w="1843" w:type="dxa"/>
            <w:tcBorders>
              <w:top w:val="thinThickSmallGap" w:sz="24" w:space="0" w:color="auto"/>
            </w:tcBorders>
            <w:shd w:val="clear" w:color="auto" w:fill="auto"/>
            <w:vAlign w:val="center"/>
          </w:tcPr>
          <w:p w:rsidR="00487368" w:rsidRPr="000021A1" w:rsidRDefault="00487368" w:rsidP="00C176A4">
            <w:pPr>
              <w:jc w:val="center"/>
            </w:pPr>
            <w:r>
              <w:t xml:space="preserve">Predstavnici  javnosti </w:t>
            </w:r>
            <w:r w:rsidRPr="000021A1">
              <w:t>(pojedinac, organizacija, institucija)</w:t>
            </w:r>
          </w:p>
        </w:tc>
        <w:tc>
          <w:tcPr>
            <w:tcW w:w="1701" w:type="dxa"/>
            <w:tcBorders>
              <w:top w:val="thinThickSmallGap" w:sz="24" w:space="0" w:color="auto"/>
            </w:tcBorders>
            <w:shd w:val="clear" w:color="auto" w:fill="auto"/>
            <w:vAlign w:val="center"/>
          </w:tcPr>
          <w:p w:rsidR="00487368" w:rsidRPr="000021A1" w:rsidRDefault="00487368" w:rsidP="00C176A4">
            <w:pPr>
              <w:jc w:val="center"/>
            </w:pPr>
            <w:r w:rsidRPr="000021A1">
              <w:t>Članak na koji se odnosi primjedba/</w:t>
            </w:r>
          </w:p>
          <w:p w:rsidR="00487368" w:rsidRPr="000021A1" w:rsidRDefault="00487368" w:rsidP="00C176A4">
            <w:pPr>
              <w:jc w:val="center"/>
            </w:pPr>
            <w:r w:rsidRPr="000021A1">
              <w:t>prijedlog</w:t>
            </w:r>
          </w:p>
        </w:tc>
        <w:tc>
          <w:tcPr>
            <w:tcW w:w="5812" w:type="dxa"/>
            <w:tcBorders>
              <w:top w:val="thinThickSmallGap" w:sz="24" w:space="0" w:color="auto"/>
            </w:tcBorders>
            <w:shd w:val="clear" w:color="auto" w:fill="auto"/>
            <w:vAlign w:val="center"/>
          </w:tcPr>
          <w:p w:rsidR="00487368" w:rsidRPr="000021A1" w:rsidRDefault="00487368" w:rsidP="002E5CD1">
            <w:pPr>
              <w:jc w:val="both"/>
            </w:pPr>
            <w:r w:rsidRPr="000021A1">
              <w:t>Tekst primjedbe/</w:t>
            </w:r>
          </w:p>
          <w:p w:rsidR="00487368" w:rsidRPr="000021A1" w:rsidRDefault="00487368" w:rsidP="002E5CD1">
            <w:pPr>
              <w:jc w:val="both"/>
            </w:pPr>
            <w:r w:rsidRPr="000021A1">
              <w:t>prijedloga</w:t>
            </w:r>
          </w:p>
        </w:tc>
        <w:tc>
          <w:tcPr>
            <w:tcW w:w="4961" w:type="dxa"/>
            <w:tcBorders>
              <w:top w:val="thinThickSmallGap" w:sz="24" w:space="0" w:color="auto"/>
              <w:right w:val="thinThickSmallGap" w:sz="24" w:space="0" w:color="auto"/>
            </w:tcBorders>
            <w:shd w:val="clear" w:color="auto" w:fill="auto"/>
            <w:vAlign w:val="center"/>
          </w:tcPr>
          <w:p w:rsidR="00487368" w:rsidRPr="000021A1" w:rsidRDefault="00487368" w:rsidP="00C176A4">
            <w:pPr>
              <w:jc w:val="center"/>
            </w:pPr>
          </w:p>
        </w:tc>
      </w:tr>
      <w:tr w:rsidR="00487368" w:rsidTr="004C7171">
        <w:trPr>
          <w:trHeight w:val="4523"/>
        </w:trPr>
        <w:tc>
          <w:tcPr>
            <w:tcW w:w="529" w:type="dxa"/>
            <w:tcBorders>
              <w:left w:val="thinThickSmallGap" w:sz="24" w:space="0" w:color="auto"/>
            </w:tcBorders>
            <w:shd w:val="clear" w:color="auto" w:fill="auto"/>
          </w:tcPr>
          <w:p w:rsidR="00487368" w:rsidRDefault="00423E43" w:rsidP="00487368">
            <w:r>
              <w:t>1.</w:t>
            </w:r>
          </w:p>
        </w:tc>
        <w:tc>
          <w:tcPr>
            <w:tcW w:w="1843" w:type="dxa"/>
            <w:shd w:val="clear" w:color="auto" w:fill="auto"/>
          </w:tcPr>
          <w:p w:rsidR="00D36A6C" w:rsidRDefault="001A1654" w:rsidP="00D36A6C">
            <w:r>
              <w:t xml:space="preserve">Prof. </w:t>
            </w:r>
            <w:r w:rsidR="00B67A33">
              <w:t xml:space="preserve">dr. sc. </w:t>
            </w:r>
            <w:r>
              <w:t>Željko Tanjić</w:t>
            </w:r>
          </w:p>
          <w:p w:rsidR="003F254E" w:rsidRDefault="003F254E" w:rsidP="009B6CE1"/>
        </w:tc>
        <w:tc>
          <w:tcPr>
            <w:tcW w:w="1701" w:type="dxa"/>
            <w:shd w:val="clear" w:color="auto" w:fill="auto"/>
          </w:tcPr>
          <w:p w:rsidR="00487368" w:rsidRDefault="00487368" w:rsidP="009B6CE1"/>
          <w:p w:rsidR="00EA5712" w:rsidRDefault="004C7171" w:rsidP="00B67A33">
            <w:r>
              <w:t>Članak 5.</w:t>
            </w:r>
          </w:p>
        </w:tc>
        <w:tc>
          <w:tcPr>
            <w:tcW w:w="5812" w:type="dxa"/>
            <w:shd w:val="clear" w:color="auto" w:fill="auto"/>
          </w:tcPr>
          <w:p w:rsidR="0019243A" w:rsidRDefault="002E5CD1" w:rsidP="002E5CD1">
            <w:pPr>
              <w:jc w:val="both"/>
            </w:pPr>
            <w:r>
              <w:t>Č</w:t>
            </w:r>
            <w:r w:rsidR="0019243A">
              <w:t xml:space="preserve">lanak 5. prijedloga Odluke o Stipendiji Grada Zagreba za učenike i studente na temelju socio-ekonomskog statusa utvrđuje pravo za sudjelovanje na natječaju za dodjelu Stipendije studentima </w:t>
            </w:r>
            <w:r w:rsidR="0019243A" w:rsidRPr="002E5CD1">
              <w:rPr>
                <w:i/>
              </w:rPr>
              <w:t>sveučilišnih preddiplomskih, diplomskih i integriranih studija Sveučilišta u Zagrebu.</w:t>
            </w:r>
            <w:r w:rsidR="0019243A">
              <w:t xml:space="preserve"> Navedenim odredbama se studentima sveučilišnih studija Hrvatskog katoličkog sveučilišta i drugih visokih učilišta, čije sjedište je u gradu Zagrebu, onemogućuje sudjelovanje na navedenom natječaju, čime se vrši diskriminacija po osnovi mjesta studiranja (javno/privatno visoko učilište).</w:t>
            </w:r>
          </w:p>
          <w:p w:rsidR="0019243A" w:rsidRDefault="0019243A" w:rsidP="002E5CD1">
            <w:pPr>
              <w:jc w:val="both"/>
            </w:pPr>
            <w:r>
              <w:t>Kako bi se gore navedeno ispravilo te studentima Hrvatskog katoličkog sveučilišta i drugih visokih učilišta omogućilo sudjelovanje na natječaju predlažemo da se članak 5. stavak drugi (B) STUDENTI), alineja druga Odluke o Stipendiji Grada Zagreba za učenike i studente na temelju socio-ekonomskog statusa izmijeni na način da glasi:</w:t>
            </w:r>
          </w:p>
          <w:p w:rsidR="0019243A" w:rsidRPr="002E5CD1" w:rsidRDefault="0019243A" w:rsidP="002E5CD1">
            <w:pPr>
              <w:jc w:val="both"/>
              <w:rPr>
                <w:i/>
              </w:rPr>
            </w:pPr>
            <w:r>
              <w:t xml:space="preserve">- </w:t>
            </w:r>
            <w:r w:rsidRPr="002E5CD1">
              <w:rPr>
                <w:i/>
              </w:rPr>
              <w:t>da su redoviti studenti sveučilišnih preddiplomskih, diplomskih i integriranih studija ili redoviti studenti kratkih stručnih studija, preddiplomskih stručnih studija i specijalističkih diplomskih stručnih studija u gradu Zagrebu;</w:t>
            </w:r>
          </w:p>
          <w:p w:rsidR="0019243A" w:rsidRDefault="0019243A" w:rsidP="002E5CD1">
            <w:pPr>
              <w:jc w:val="both"/>
            </w:pPr>
          </w:p>
          <w:p w:rsidR="0019243A" w:rsidRDefault="0019243A" w:rsidP="002E5CD1">
            <w:pPr>
              <w:jc w:val="both"/>
            </w:pPr>
          </w:p>
          <w:tbl>
            <w:tblPr>
              <w:tblW w:w="10036" w:type="dxa"/>
              <w:tblBorders>
                <w:top w:val="nil"/>
                <w:left w:val="nil"/>
                <w:bottom w:val="nil"/>
                <w:right w:val="nil"/>
              </w:tblBorders>
              <w:tblLayout w:type="fixed"/>
              <w:tblLook w:val="0000" w:firstRow="0" w:lastRow="0" w:firstColumn="0" w:lastColumn="0" w:noHBand="0" w:noVBand="0"/>
            </w:tblPr>
            <w:tblGrid>
              <w:gridCol w:w="10036"/>
            </w:tblGrid>
            <w:tr w:rsidR="001A1654" w:rsidRPr="001A1654" w:rsidTr="0019243A">
              <w:trPr>
                <w:trHeight w:val="3834"/>
              </w:trPr>
              <w:tc>
                <w:tcPr>
                  <w:tcW w:w="10036" w:type="dxa"/>
                </w:tcPr>
                <w:p w:rsidR="001A1654" w:rsidRPr="001A1654" w:rsidRDefault="001A1654" w:rsidP="002E5CD1">
                  <w:pPr>
                    <w:pStyle w:val="Default"/>
                    <w:jc w:val="both"/>
                    <w:rPr>
                      <w:i/>
                      <w:iCs/>
                      <w:sz w:val="20"/>
                      <w:szCs w:val="20"/>
                    </w:rPr>
                  </w:pPr>
                </w:p>
              </w:tc>
            </w:tr>
            <w:tr w:rsidR="001A1654" w:rsidRPr="001A1654" w:rsidTr="0019243A">
              <w:trPr>
                <w:trHeight w:val="109"/>
              </w:trPr>
              <w:tc>
                <w:tcPr>
                  <w:tcW w:w="10036" w:type="dxa"/>
                </w:tcPr>
                <w:p w:rsidR="001A1654" w:rsidRPr="001A1654" w:rsidRDefault="001A1654" w:rsidP="002E5CD1">
                  <w:pPr>
                    <w:pStyle w:val="Default"/>
                    <w:jc w:val="both"/>
                    <w:rPr>
                      <w:sz w:val="20"/>
                      <w:szCs w:val="20"/>
                    </w:rPr>
                  </w:pPr>
                </w:p>
              </w:tc>
            </w:tr>
          </w:tbl>
          <w:p w:rsidR="00D36A6C" w:rsidRPr="001A1654" w:rsidRDefault="00D36A6C" w:rsidP="002E5CD1">
            <w:pPr>
              <w:jc w:val="both"/>
              <w:rPr>
                <w:sz w:val="20"/>
                <w:szCs w:val="20"/>
              </w:rPr>
            </w:pPr>
          </w:p>
        </w:tc>
        <w:tc>
          <w:tcPr>
            <w:tcW w:w="4961" w:type="dxa"/>
            <w:tcBorders>
              <w:right w:val="thinThickSmallGap" w:sz="24" w:space="0" w:color="auto"/>
            </w:tcBorders>
            <w:shd w:val="clear" w:color="auto" w:fill="auto"/>
          </w:tcPr>
          <w:p w:rsidR="00F2635F" w:rsidRPr="0035162F" w:rsidRDefault="004323B6" w:rsidP="001A1654">
            <w:pPr>
              <w:rPr>
                <w:b/>
              </w:rPr>
            </w:pPr>
            <w:r w:rsidRPr="0035162F">
              <w:rPr>
                <w:b/>
              </w:rPr>
              <w:t>Prihvaća se:</w:t>
            </w:r>
          </w:p>
          <w:p w:rsidR="001C033D" w:rsidRDefault="001C033D" w:rsidP="000A7EF4">
            <w:r>
              <w:t xml:space="preserve">Primjedba/prijedlog se prihvaća i </w:t>
            </w:r>
            <w:r w:rsidR="00D81824">
              <w:t>ugrađen je u članak</w:t>
            </w:r>
            <w:r>
              <w:t xml:space="preserve"> 5. Odluke.</w:t>
            </w:r>
          </w:p>
        </w:tc>
      </w:tr>
      <w:tr w:rsidR="00487368" w:rsidTr="001A1654">
        <w:tc>
          <w:tcPr>
            <w:tcW w:w="529" w:type="dxa"/>
            <w:tcBorders>
              <w:left w:val="thinThickSmallGap" w:sz="24" w:space="0" w:color="auto"/>
            </w:tcBorders>
            <w:shd w:val="clear" w:color="auto" w:fill="auto"/>
          </w:tcPr>
          <w:p w:rsidR="00487368" w:rsidRDefault="00D36A6C" w:rsidP="00487368">
            <w:r>
              <w:t xml:space="preserve"> </w:t>
            </w:r>
            <w:r w:rsidR="004C7171">
              <w:t>2.</w:t>
            </w:r>
          </w:p>
        </w:tc>
        <w:tc>
          <w:tcPr>
            <w:tcW w:w="1843" w:type="dxa"/>
            <w:shd w:val="clear" w:color="auto" w:fill="auto"/>
          </w:tcPr>
          <w:p w:rsidR="00487368" w:rsidRDefault="004C7171" w:rsidP="00487368">
            <w:r>
              <w:t>Dr. sc. Damir Jugo, prof. v. š.</w:t>
            </w:r>
          </w:p>
          <w:p w:rsidR="00487368" w:rsidRDefault="00487368" w:rsidP="004C7171"/>
        </w:tc>
        <w:tc>
          <w:tcPr>
            <w:tcW w:w="1701" w:type="dxa"/>
            <w:shd w:val="clear" w:color="auto" w:fill="auto"/>
          </w:tcPr>
          <w:p w:rsidR="00487368" w:rsidRDefault="00487368" w:rsidP="00487368"/>
          <w:p w:rsidR="00EA5712" w:rsidRDefault="004C7171" w:rsidP="004C7171">
            <w:r>
              <w:t xml:space="preserve">Načelna </w:t>
            </w:r>
            <w:r>
              <w:lastRenderedPageBreak/>
              <w:t xml:space="preserve">primjedba </w:t>
            </w:r>
          </w:p>
        </w:tc>
        <w:tc>
          <w:tcPr>
            <w:tcW w:w="5812" w:type="dxa"/>
            <w:shd w:val="clear" w:color="auto" w:fill="auto"/>
          </w:tcPr>
          <w:p w:rsidR="004C7171" w:rsidRPr="004C7171" w:rsidRDefault="004C7171" w:rsidP="002E5CD1">
            <w:pPr>
              <w:autoSpaceDE w:val="0"/>
              <w:autoSpaceDN w:val="0"/>
              <w:adjustRightInd w:val="0"/>
              <w:jc w:val="both"/>
              <w:rPr>
                <w:rFonts w:ascii="TimesNewRomanPSMT" w:hAnsi="TimesNewRomanPSMT" w:cs="TimesNewRomanPSMT"/>
              </w:rPr>
            </w:pPr>
          </w:p>
          <w:p w:rsidR="004C7171" w:rsidRPr="004C7171" w:rsidRDefault="004C7171" w:rsidP="002E5CD1">
            <w:pPr>
              <w:autoSpaceDE w:val="0"/>
              <w:autoSpaceDN w:val="0"/>
              <w:adjustRightInd w:val="0"/>
              <w:jc w:val="both"/>
              <w:rPr>
                <w:rFonts w:ascii="TimesNewRomanPSMT" w:hAnsi="TimesNewRomanPSMT" w:cs="TimesNewRomanPSMT"/>
              </w:rPr>
            </w:pPr>
            <w:r w:rsidRPr="004C7171">
              <w:rPr>
                <w:rFonts w:ascii="TimesNewRomanPSMT" w:hAnsi="TimesNewRomanPSMT" w:cs="TimesNewRomanPSMT"/>
              </w:rPr>
              <w:t>Nacrt koji se trenutno nalazi u javnom savjetovanju teško diskriminira sve studente na području Grada Zagreba po dvije osnove:</w:t>
            </w:r>
          </w:p>
          <w:p w:rsidR="004C7171" w:rsidRPr="004C7171" w:rsidRDefault="004C7171" w:rsidP="002E5CD1">
            <w:pPr>
              <w:autoSpaceDE w:val="0"/>
              <w:autoSpaceDN w:val="0"/>
              <w:adjustRightInd w:val="0"/>
              <w:jc w:val="both"/>
              <w:rPr>
                <w:rFonts w:ascii="TimesNewRomanPSMT" w:hAnsi="TimesNewRomanPSMT" w:cs="TimesNewRomanPSMT"/>
              </w:rPr>
            </w:pPr>
          </w:p>
          <w:p w:rsidR="004C7171" w:rsidRPr="004C7171" w:rsidRDefault="004C7171" w:rsidP="002E5CD1">
            <w:pPr>
              <w:autoSpaceDE w:val="0"/>
              <w:autoSpaceDN w:val="0"/>
              <w:adjustRightInd w:val="0"/>
              <w:jc w:val="both"/>
              <w:rPr>
                <w:rFonts w:ascii="TimesNewRomanPSMT" w:hAnsi="TimesNewRomanPSMT" w:cs="TimesNewRomanPSMT"/>
              </w:rPr>
            </w:pPr>
            <w:r w:rsidRPr="004C7171">
              <w:rPr>
                <w:rFonts w:ascii="TimesNewRomanPSMT" w:hAnsi="TimesNewRomanPSMT" w:cs="TimesNewRomanPSMT"/>
              </w:rPr>
              <w:lastRenderedPageBreak/>
              <w:t>1) Konkretnog visokog učilišta na kojem studiraju, a budući da članak 5. st. B) jasno navodi kako pravo sudjelovanja na natječaju imaju ISKLJUČIVO studenti svih razina studija Sveučilišta u Zagrebu. Ova je odredba novost u odnosu na dosadašnje natječaje, budući da su pravo prijave dosad uvijek imali i studenti drugih visokih učilišta.</w:t>
            </w:r>
          </w:p>
          <w:p w:rsidR="004C7171" w:rsidRPr="004C7171" w:rsidRDefault="004C7171" w:rsidP="002E5CD1">
            <w:pPr>
              <w:autoSpaceDE w:val="0"/>
              <w:autoSpaceDN w:val="0"/>
              <w:adjustRightInd w:val="0"/>
              <w:jc w:val="both"/>
              <w:rPr>
                <w:rFonts w:ascii="TimesNewRomanPSMT" w:hAnsi="TimesNewRomanPSMT" w:cs="TimesNewRomanPSMT"/>
              </w:rPr>
            </w:pPr>
          </w:p>
          <w:p w:rsidR="004C7171" w:rsidRPr="004C7171" w:rsidRDefault="004C7171" w:rsidP="002E5CD1">
            <w:pPr>
              <w:autoSpaceDE w:val="0"/>
              <w:autoSpaceDN w:val="0"/>
              <w:adjustRightInd w:val="0"/>
              <w:jc w:val="both"/>
              <w:rPr>
                <w:rFonts w:ascii="TimesNewRomanPSMT" w:hAnsi="TimesNewRomanPSMT" w:cs="TimesNewRomanPSMT"/>
              </w:rPr>
            </w:pPr>
            <w:r w:rsidRPr="004C7171">
              <w:rPr>
                <w:rFonts w:ascii="TimesNewRomanPSMT" w:hAnsi="TimesNewRomanPSMT" w:cs="TimesNewRomanPSMT"/>
              </w:rPr>
              <w:t xml:space="preserve">2) Na osnovi vrste studija koji pohađaju, a budući da postojeći tekst natječaja isključuje studente stručnih studija jer navodi kako pravo prijave imaju isključivo studenti SVEUČILIŠNIH studija. Stručni studiji, s obzirom na binarnost visokoobrazovnog sustava u RH jednako su vrijedni sveučilišnim studijima pa bi stoga </w:t>
            </w:r>
          </w:p>
          <w:p w:rsidR="004C7171" w:rsidRPr="004C7171" w:rsidRDefault="004C7171" w:rsidP="002E5CD1">
            <w:pPr>
              <w:autoSpaceDE w:val="0"/>
              <w:autoSpaceDN w:val="0"/>
              <w:adjustRightInd w:val="0"/>
              <w:jc w:val="both"/>
              <w:rPr>
                <w:rFonts w:ascii="TimesNewRomanPSMT" w:hAnsi="TimesNewRomanPSMT" w:cs="TimesNewRomanPSMT"/>
              </w:rPr>
            </w:pPr>
            <w:r w:rsidRPr="004C7171">
              <w:rPr>
                <w:rFonts w:ascii="TimesNewRomanPSMT" w:hAnsi="TimesNewRomanPSMT" w:cs="TimesNewRomanPSMT"/>
              </w:rPr>
              <w:t>ovakav tekst natječaja iz mogućnosti konkuriranja za stipendije bezrazložno isključio i tako diskriminirao sve studente stručnih studija.</w:t>
            </w:r>
          </w:p>
          <w:p w:rsidR="00D36A6C" w:rsidRDefault="00D36A6C" w:rsidP="002E5CD1">
            <w:pPr>
              <w:jc w:val="both"/>
            </w:pPr>
          </w:p>
        </w:tc>
        <w:tc>
          <w:tcPr>
            <w:tcW w:w="4961" w:type="dxa"/>
            <w:tcBorders>
              <w:right w:val="thinThickSmallGap" w:sz="24" w:space="0" w:color="auto"/>
            </w:tcBorders>
            <w:shd w:val="clear" w:color="auto" w:fill="auto"/>
          </w:tcPr>
          <w:p w:rsidR="00426474" w:rsidRDefault="004323B6" w:rsidP="001A1654">
            <w:r w:rsidRPr="0035162F">
              <w:rPr>
                <w:b/>
              </w:rPr>
              <w:lastRenderedPageBreak/>
              <w:t>Prihvaća se:</w:t>
            </w:r>
            <w:r w:rsidR="00426474">
              <w:t xml:space="preserve"> </w:t>
            </w:r>
          </w:p>
          <w:p w:rsidR="00DF36C3" w:rsidRDefault="00426474" w:rsidP="001A1654">
            <w:pPr>
              <w:rPr>
                <w:b/>
              </w:rPr>
            </w:pPr>
            <w:r>
              <w:t>Primjedba/prije</w:t>
            </w:r>
            <w:r>
              <w:lastRenderedPageBreak/>
              <w:t>dlog se prihvaća i ugrađen</w:t>
            </w:r>
            <w:r w:rsidR="000A7EF4">
              <w:t xml:space="preserve"> </w:t>
            </w:r>
            <w:r w:rsidR="00D81824">
              <w:t xml:space="preserve">je </w:t>
            </w:r>
            <w:r>
              <w:t>u članak 5. Odluke.</w:t>
            </w:r>
          </w:p>
          <w:p w:rsidR="00426474" w:rsidRPr="0035162F" w:rsidRDefault="00426474" w:rsidP="001A1654">
            <w:pPr>
              <w:rPr>
                <w:b/>
              </w:rPr>
            </w:pPr>
          </w:p>
        </w:tc>
      </w:tr>
      <w:tr w:rsidR="00487368" w:rsidTr="001A1654">
        <w:tc>
          <w:tcPr>
            <w:tcW w:w="529" w:type="dxa"/>
            <w:tcBorders>
              <w:left w:val="thinThickSmallGap" w:sz="24" w:space="0" w:color="auto"/>
            </w:tcBorders>
            <w:shd w:val="clear" w:color="auto" w:fill="auto"/>
          </w:tcPr>
          <w:p w:rsidR="00487368" w:rsidRDefault="00487368" w:rsidP="00487368"/>
        </w:tc>
        <w:tc>
          <w:tcPr>
            <w:tcW w:w="1843" w:type="dxa"/>
            <w:shd w:val="clear" w:color="auto" w:fill="auto"/>
          </w:tcPr>
          <w:p w:rsidR="00487368" w:rsidRDefault="00487368" w:rsidP="00487368"/>
          <w:p w:rsidR="00D36A6C" w:rsidRDefault="00D36A6C" w:rsidP="00487368"/>
          <w:p w:rsidR="00487368" w:rsidRDefault="00487368" w:rsidP="000D7076"/>
        </w:tc>
        <w:tc>
          <w:tcPr>
            <w:tcW w:w="1701" w:type="dxa"/>
            <w:shd w:val="clear" w:color="auto" w:fill="auto"/>
          </w:tcPr>
          <w:p w:rsidR="009C569A" w:rsidRDefault="004C7171" w:rsidP="002E5CD1">
            <w:r>
              <w:t>Članak 5.</w:t>
            </w:r>
          </w:p>
        </w:tc>
        <w:tc>
          <w:tcPr>
            <w:tcW w:w="5812" w:type="dxa"/>
            <w:shd w:val="clear" w:color="auto" w:fill="auto"/>
          </w:tcPr>
          <w:p w:rsidR="004C7171" w:rsidRDefault="004C7171" w:rsidP="002E5CD1">
            <w:pPr>
              <w:jc w:val="both"/>
            </w:pPr>
            <w:r>
              <w:t>Čl. 5. st. B), t. 2. nužno je izmijeniti na način da glasi:</w:t>
            </w:r>
          </w:p>
          <w:p w:rsidR="004C7171" w:rsidRDefault="004C7171" w:rsidP="002E5CD1">
            <w:pPr>
              <w:jc w:val="both"/>
            </w:pPr>
          </w:p>
          <w:p w:rsidR="004C7171" w:rsidRDefault="004C7171" w:rsidP="002E5CD1">
            <w:pPr>
              <w:jc w:val="both"/>
            </w:pPr>
            <w:r>
              <w:t xml:space="preserve">- </w:t>
            </w:r>
            <w:r w:rsidRPr="002E5CD1">
              <w:rPr>
                <w:b/>
                <w:u w:val="single"/>
              </w:rPr>
              <w:t>da su redoviti studenti preddiplomskih, diplomskih i integriranih studija koje izvode visoka učilišta na području Grada Zagreba.</w:t>
            </w:r>
          </w:p>
          <w:p w:rsidR="004C7171" w:rsidRDefault="004C7171" w:rsidP="002E5CD1">
            <w:pPr>
              <w:jc w:val="both"/>
            </w:pPr>
          </w:p>
          <w:p w:rsidR="00D36A6C" w:rsidRDefault="004C7171" w:rsidP="002E5CD1">
            <w:pPr>
              <w:jc w:val="both"/>
            </w:pPr>
            <w:r>
              <w:t>Navedena formulacija uključivala bi studente i sveučilišnih i stručnih studija te studente svih visokih učilišta (Sveučilišta, fakulteta, akademija, veleučilišta i visokih škola) koja djeluju na području Grada Zagreba.</w:t>
            </w:r>
          </w:p>
        </w:tc>
        <w:tc>
          <w:tcPr>
            <w:tcW w:w="4961" w:type="dxa"/>
            <w:tcBorders>
              <w:right w:val="thinThickSmallGap" w:sz="24" w:space="0" w:color="auto"/>
            </w:tcBorders>
            <w:shd w:val="clear" w:color="auto" w:fill="auto"/>
          </w:tcPr>
          <w:p w:rsidR="00426474" w:rsidRDefault="004323B6" w:rsidP="001A1654">
            <w:r w:rsidRPr="00426474">
              <w:rPr>
                <w:b/>
              </w:rPr>
              <w:t>Prihvaća se:</w:t>
            </w:r>
            <w:r w:rsidR="00426474">
              <w:t xml:space="preserve"> </w:t>
            </w:r>
          </w:p>
          <w:p w:rsidR="000D7076" w:rsidRDefault="00426474" w:rsidP="000A7EF4">
            <w:r>
              <w:t>Primjedba/prijedlog se prihvaća i</w:t>
            </w:r>
            <w:r w:rsidR="00D81824">
              <w:t xml:space="preserve"> </w:t>
            </w:r>
            <w:r>
              <w:t xml:space="preserve">ugrađen </w:t>
            </w:r>
            <w:r w:rsidR="00D81824">
              <w:t xml:space="preserve">je </w:t>
            </w:r>
            <w:r>
              <w:t>u članak 5. Odluke.</w:t>
            </w:r>
          </w:p>
        </w:tc>
      </w:tr>
      <w:tr w:rsidR="00487368" w:rsidTr="001A1654">
        <w:tc>
          <w:tcPr>
            <w:tcW w:w="529" w:type="dxa"/>
            <w:tcBorders>
              <w:left w:val="thinThickSmallGap" w:sz="24" w:space="0" w:color="auto"/>
            </w:tcBorders>
            <w:shd w:val="clear" w:color="auto" w:fill="auto"/>
          </w:tcPr>
          <w:p w:rsidR="00487368" w:rsidRDefault="004C7171" w:rsidP="00487368">
            <w:r>
              <w:t>3.</w:t>
            </w:r>
          </w:p>
        </w:tc>
        <w:tc>
          <w:tcPr>
            <w:tcW w:w="1843" w:type="dxa"/>
            <w:shd w:val="clear" w:color="auto" w:fill="auto"/>
          </w:tcPr>
          <w:p w:rsidR="00487368" w:rsidRDefault="004C7171" w:rsidP="00487368">
            <w:r>
              <w:t>Pravobranitelj za osobe s invaliditetom</w:t>
            </w:r>
          </w:p>
          <w:p w:rsidR="00D36A6C" w:rsidRDefault="00D36A6C" w:rsidP="00487368"/>
          <w:p w:rsidR="00D36A6C" w:rsidRDefault="00D36A6C" w:rsidP="00487368"/>
          <w:p w:rsidR="00487368" w:rsidRDefault="00487368" w:rsidP="00487368"/>
        </w:tc>
        <w:tc>
          <w:tcPr>
            <w:tcW w:w="1701" w:type="dxa"/>
            <w:shd w:val="clear" w:color="auto" w:fill="auto"/>
          </w:tcPr>
          <w:p w:rsidR="00487368" w:rsidRDefault="004C7171" w:rsidP="00487368">
            <w:r>
              <w:t>Načelna primjedba</w:t>
            </w:r>
          </w:p>
        </w:tc>
        <w:tc>
          <w:tcPr>
            <w:tcW w:w="5812" w:type="dxa"/>
            <w:shd w:val="clear" w:color="auto" w:fill="auto"/>
          </w:tcPr>
          <w:p w:rsidR="00D36A6C" w:rsidRDefault="00F6135B" w:rsidP="002E5CD1">
            <w:pPr>
              <w:jc w:val="both"/>
            </w:pPr>
            <w:r w:rsidRPr="00F6135B">
              <w:t>U potpunosti podržavamo nastavak stipendiranja i stvaranja boljih uvjeta školovanja za učenike i studente nižeg socioekonomskog statusa. Jedina primjedba koju imamo odnosi se na definiranje osoba s invaliditetom koja nije usklađena s Uredbom o metodologijama vještačenja u predloženom nacrtu prijedloga stipendija. U nastavku osvrtom na konkretan članak i stavke dajemo prijedlog sukladan Uredbi.</w:t>
            </w:r>
          </w:p>
        </w:tc>
        <w:tc>
          <w:tcPr>
            <w:tcW w:w="4961" w:type="dxa"/>
            <w:tcBorders>
              <w:right w:val="thinThickSmallGap" w:sz="24" w:space="0" w:color="auto"/>
            </w:tcBorders>
            <w:shd w:val="clear" w:color="auto" w:fill="auto"/>
          </w:tcPr>
          <w:p w:rsidR="003363F7" w:rsidRDefault="004323B6" w:rsidP="00487368">
            <w:r w:rsidRPr="00D346B5">
              <w:rPr>
                <w:b/>
              </w:rPr>
              <w:t>Ne prihvaća se:</w:t>
            </w:r>
            <w:r w:rsidR="00D346B5">
              <w:t xml:space="preserve"> </w:t>
            </w:r>
          </w:p>
          <w:p w:rsidR="00DB57D0" w:rsidRDefault="00D346B5" w:rsidP="00487368">
            <w:pPr>
              <w:rPr>
                <w:b/>
              </w:rPr>
            </w:pPr>
            <w:r>
              <w:t>Primjedba/prijedlog se ne prihvaća jer je navedeni kriterij bodovanja invaliditeta izostavljen iz završn</w:t>
            </w:r>
            <w:r w:rsidR="00730268">
              <w:t>og sadržaja</w:t>
            </w:r>
            <w:r>
              <w:t xml:space="preserve"> Odluke.</w:t>
            </w:r>
          </w:p>
          <w:p w:rsidR="00D346B5" w:rsidRPr="00D346B5" w:rsidRDefault="00D346B5" w:rsidP="00487368">
            <w:pPr>
              <w:rPr>
                <w:b/>
              </w:rPr>
            </w:pPr>
          </w:p>
        </w:tc>
      </w:tr>
      <w:tr w:rsidR="00487368" w:rsidTr="001A1654">
        <w:trPr>
          <w:trHeight w:val="763"/>
        </w:trPr>
        <w:tc>
          <w:tcPr>
            <w:tcW w:w="529" w:type="dxa"/>
            <w:tcBorders>
              <w:left w:val="thinThickSmallGap" w:sz="24" w:space="0" w:color="auto"/>
            </w:tcBorders>
            <w:shd w:val="clear" w:color="auto" w:fill="auto"/>
          </w:tcPr>
          <w:p w:rsidR="00487368" w:rsidRDefault="00487368" w:rsidP="00487368"/>
        </w:tc>
        <w:tc>
          <w:tcPr>
            <w:tcW w:w="1843" w:type="dxa"/>
            <w:shd w:val="clear" w:color="auto" w:fill="auto"/>
          </w:tcPr>
          <w:p w:rsidR="00487368" w:rsidRDefault="00487368" w:rsidP="00487368"/>
        </w:tc>
        <w:tc>
          <w:tcPr>
            <w:tcW w:w="1701" w:type="dxa"/>
            <w:shd w:val="clear" w:color="auto" w:fill="auto"/>
          </w:tcPr>
          <w:p w:rsidR="009C569A" w:rsidRDefault="009C569A" w:rsidP="009C569A">
            <w:r>
              <w:t xml:space="preserve">Članak </w:t>
            </w:r>
            <w:r w:rsidR="00F6135B">
              <w:t>14.</w:t>
            </w:r>
          </w:p>
          <w:p w:rsidR="00487368" w:rsidRDefault="00487368" w:rsidP="009C569A"/>
        </w:tc>
        <w:tc>
          <w:tcPr>
            <w:tcW w:w="5812" w:type="dxa"/>
            <w:shd w:val="clear" w:color="auto" w:fill="auto"/>
          </w:tcPr>
          <w:p w:rsidR="00957901" w:rsidRDefault="00F6135B" w:rsidP="002E5CD1">
            <w:pPr>
              <w:jc w:val="both"/>
            </w:pPr>
            <w:r>
              <w:t>U članku 14. stavku 1. alineji 5. navodi se „</w:t>
            </w:r>
            <w:r w:rsidRPr="00957901">
              <w:rPr>
                <w:i/>
              </w:rPr>
              <w:t>roditelja s tjelesnim i osjetilnim oštećenjem od 100%“</w:t>
            </w:r>
            <w:r>
              <w:t xml:space="preserve"> te u alineji 8. </w:t>
            </w:r>
            <w:r w:rsidRPr="00957901">
              <w:rPr>
                <w:i/>
              </w:rPr>
              <w:t xml:space="preserve">„učenika/studenta s najmanje 60% utvrđenog tjelesnog i osjetilnog oštećenja, sukladno Uredbi o metodologijama vještačenja“ </w:t>
            </w:r>
            <w:r>
              <w:t xml:space="preserve"> </w:t>
            </w:r>
          </w:p>
          <w:p w:rsidR="00F6135B" w:rsidRDefault="00F6135B" w:rsidP="002E5CD1">
            <w:pPr>
              <w:jc w:val="both"/>
            </w:pPr>
            <w:r>
              <w:t xml:space="preserve">Predlažemo da se navedeno uskladi s Uredbom o metodologijama vještačenja (dalje, Uredba) prema kojoj se invaliditet ne utvrđuje samo Listom oštećenja organizma koja se izražava u postotcima već i Listom težine i vrste invaliditeta – oštećenja funkcionalnih sposobnosti koja se izražavaju u stupnjevima. Osim navedenog skrećemo pozornost da Lista oštećenja organizma obuhvaća sve vrste oštećenja, a ne samo kao što je navedeno tjelesno i osjetilno. Uredba definira osobu s invaliditetom u članku 23. stavku 2., citiramo: </w:t>
            </w:r>
            <w:r w:rsidRPr="00957901">
              <w:rPr>
                <w:i/>
              </w:rPr>
              <w:t xml:space="preserve">„Status osobe s invaliditetom ima osoba (starija od 15 godina) kojoj je u postupku vještačenja utvrđeno barem jedno oštećenje iz Liste I i </w:t>
            </w:r>
            <w:r w:rsidRPr="00957901">
              <w:rPr>
                <w:i/>
              </w:rPr>
              <w:lastRenderedPageBreak/>
              <w:t>najmanje stupanj 1. iz Liste težine i vrste invaliditeta – oštećenja funkcionalnih sposobnost“</w:t>
            </w:r>
          </w:p>
          <w:p w:rsidR="00F6135B" w:rsidRDefault="00F6135B" w:rsidP="002E5CD1">
            <w:pPr>
              <w:jc w:val="both"/>
            </w:pPr>
            <w:r>
              <w:t xml:space="preserve">Lista 1 je Lista oštećenja organizma. </w:t>
            </w:r>
          </w:p>
          <w:p w:rsidR="00D36A6C" w:rsidRDefault="00F6135B" w:rsidP="002E5CD1">
            <w:pPr>
              <w:jc w:val="both"/>
            </w:pPr>
            <w:r>
              <w:t>Slijedom citirane odredbe skrećemo pažnju da je zbog iznimne važnosti obrazovanja djece s teškoćama u razvoju i osoba s invaliditetom potrebno da se iz sustava bodovanja ne isključuju osobe s invaliditetom s određenom razinom ili stupnjem oštećenja, odnosno da se u bodovanje uključe sve osobe s invaliditetom sukladno definiciji po Uredbi.</w:t>
            </w:r>
          </w:p>
        </w:tc>
        <w:tc>
          <w:tcPr>
            <w:tcW w:w="4961" w:type="dxa"/>
            <w:tcBorders>
              <w:right w:val="thinThickSmallGap" w:sz="24" w:space="0" w:color="auto"/>
            </w:tcBorders>
            <w:shd w:val="clear" w:color="auto" w:fill="auto"/>
          </w:tcPr>
          <w:p w:rsidR="00DB57D0" w:rsidRPr="00D346B5" w:rsidRDefault="004323B6" w:rsidP="00487368">
            <w:pPr>
              <w:rPr>
                <w:b/>
              </w:rPr>
            </w:pPr>
            <w:r w:rsidRPr="00D346B5">
              <w:rPr>
                <w:b/>
              </w:rPr>
              <w:lastRenderedPageBreak/>
              <w:t>Ne prihvaća se:</w:t>
            </w:r>
          </w:p>
          <w:p w:rsidR="00D346B5" w:rsidRDefault="00D346B5" w:rsidP="008F5B83">
            <w:r>
              <w:t xml:space="preserve">Primjedba/prijedlog se ne prihvaća jer  </w:t>
            </w:r>
            <w:r w:rsidR="000D5AF8">
              <w:t xml:space="preserve">su </w:t>
            </w:r>
            <w:r w:rsidR="00382397">
              <w:t>naveden</w:t>
            </w:r>
            <w:r w:rsidR="008F5B83">
              <w:t>i</w:t>
            </w:r>
            <w:r w:rsidR="00382397">
              <w:t xml:space="preserve"> </w:t>
            </w:r>
            <w:r w:rsidR="008F5B83">
              <w:t>kriteriji bodovanja</w:t>
            </w:r>
            <w:r w:rsidR="00C12938">
              <w:t xml:space="preserve"> </w:t>
            </w:r>
            <w:r>
              <w:lastRenderedPageBreak/>
              <w:t>izostavljen</w:t>
            </w:r>
            <w:r w:rsidR="008F5B83">
              <w:t>i</w:t>
            </w:r>
            <w:r>
              <w:t xml:space="preserve"> iz završn</w:t>
            </w:r>
            <w:r w:rsidR="00730268">
              <w:t>og</w:t>
            </w:r>
            <w:r>
              <w:t xml:space="preserve"> </w:t>
            </w:r>
            <w:r w:rsidR="00730268">
              <w:t>sadržaja</w:t>
            </w:r>
            <w:r>
              <w:t xml:space="preserve"> Odluke.</w:t>
            </w:r>
          </w:p>
        </w:tc>
      </w:tr>
      <w:tr w:rsidR="00487368" w:rsidTr="001A1654">
        <w:trPr>
          <w:trHeight w:val="893"/>
        </w:trPr>
        <w:tc>
          <w:tcPr>
            <w:tcW w:w="529" w:type="dxa"/>
            <w:tcBorders>
              <w:left w:val="thinThickSmallGap" w:sz="24" w:space="0" w:color="auto"/>
            </w:tcBorders>
            <w:shd w:val="clear" w:color="auto" w:fill="auto"/>
          </w:tcPr>
          <w:p w:rsidR="00487368" w:rsidRDefault="00F6135B" w:rsidP="00487368">
            <w:r>
              <w:lastRenderedPageBreak/>
              <w:t>4</w:t>
            </w:r>
            <w:r w:rsidR="00D36A6C">
              <w:t>.</w:t>
            </w:r>
          </w:p>
        </w:tc>
        <w:tc>
          <w:tcPr>
            <w:tcW w:w="1843"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269"/>
            </w:tblGrid>
            <w:tr w:rsidR="009F0C74" w:rsidRPr="009F0C74">
              <w:trPr>
                <w:trHeight w:val="109"/>
              </w:trPr>
              <w:tc>
                <w:tcPr>
                  <w:tcW w:w="1269" w:type="dxa"/>
                </w:tcPr>
                <w:p w:rsidR="008F6F4E" w:rsidRPr="009F0C74" w:rsidRDefault="00F6135B" w:rsidP="008F6F4E">
                  <w:pPr>
                    <w:pStyle w:val="Default"/>
                    <w:rPr>
                      <w:color w:val="auto"/>
                      <w:sz w:val="23"/>
                      <w:szCs w:val="23"/>
                    </w:rPr>
                  </w:pPr>
                  <w:r w:rsidRPr="009F0C74">
                    <w:rPr>
                      <w:color w:val="auto"/>
                      <w:sz w:val="23"/>
                      <w:szCs w:val="23"/>
                    </w:rPr>
                    <w:t>Ana Ćuća</w:t>
                  </w:r>
                  <w:r w:rsidR="00957901" w:rsidRPr="009F0C74">
                    <w:rPr>
                      <w:color w:val="auto"/>
                      <w:sz w:val="23"/>
                      <w:szCs w:val="23"/>
                    </w:rPr>
                    <w:t xml:space="preserve"> (Centar za mirovne studije)</w:t>
                  </w:r>
                </w:p>
              </w:tc>
            </w:tr>
          </w:tbl>
          <w:p w:rsidR="00487368" w:rsidRPr="009F0C74" w:rsidRDefault="00487368" w:rsidP="0034407F">
            <w:pPr>
              <w:pStyle w:val="Default"/>
              <w:rPr>
                <w:color w:val="auto"/>
              </w:rPr>
            </w:pPr>
          </w:p>
        </w:tc>
        <w:tc>
          <w:tcPr>
            <w:tcW w:w="1701" w:type="dxa"/>
            <w:shd w:val="clear" w:color="auto" w:fill="auto"/>
          </w:tcPr>
          <w:p w:rsidR="00487368" w:rsidRPr="009F0C74" w:rsidRDefault="00F6135B" w:rsidP="009C569A">
            <w:r w:rsidRPr="009F0C74">
              <w:t>Načelna primjedba</w:t>
            </w:r>
          </w:p>
        </w:tc>
        <w:tc>
          <w:tcPr>
            <w:tcW w:w="5812" w:type="dxa"/>
            <w:shd w:val="clear" w:color="auto" w:fill="auto"/>
          </w:tcPr>
          <w:p w:rsidR="00F6135B" w:rsidRPr="009F0C74" w:rsidRDefault="00F6135B" w:rsidP="002E5CD1">
            <w:pPr>
              <w:jc w:val="both"/>
            </w:pPr>
          </w:p>
          <w:p w:rsidR="00F6135B" w:rsidRPr="009F0C74" w:rsidRDefault="00F6135B" w:rsidP="002E5CD1">
            <w:pPr>
              <w:jc w:val="both"/>
            </w:pPr>
            <w:r w:rsidRPr="009F0C74">
              <w:t>Nacrt prijedloga odluke treba proširiti na djecu čiji status/državljanstvo još uvijek nije regulirano. Primarno se referiramo na djecu tražitelje azila, djecu izbjeglice i djecu pripadnike romske manjine čiji se roditelji nisu na popisu stanovništva izjasnili kao Romi te nemaju državljanstvo.</w:t>
            </w:r>
            <w:r w:rsidR="00957901" w:rsidRPr="009F0C74">
              <w:rPr>
                <w:rStyle w:val="FootnoteReference"/>
              </w:rPr>
              <w:footnoteReference w:id="1"/>
            </w:r>
            <w:r w:rsidRPr="009F0C74">
              <w:t xml:space="preserve">  </w:t>
            </w:r>
          </w:p>
          <w:p w:rsidR="00F6135B" w:rsidRPr="009F0C74" w:rsidRDefault="00F6135B" w:rsidP="002E5CD1">
            <w:pPr>
              <w:jc w:val="both"/>
            </w:pPr>
            <w:r w:rsidRPr="009F0C74">
              <w:t>Djeca tražitelji azila pri dolasku u Republiku Hrvatsku prema postojećem zakonodavnom okviru trebaju biti uključena u obrazovni sustav unutar 30 dana. Prilikom uključivanja djece u obrazovni sustav ona i njihovi roditelji susreću se s brojnim barijerama poput jezičnih, financijskih, ali i drugih poteškoća koje proizlaze iz izostanka sustava da adekvatno odgovore na dječje potrebe. Postupak traženja azila u Republici Hrvatskoj je često dugotrajan proces koji može dostići čak dvije godine. Za to vrijeme roditelji često nemaju primanja te se muče sa pribavljanjem školske opreme i pokrivanjem troškova. Kako bi se djeci omogućio školski pribor i dodatna oprema, organizacije civilnog društva često prikupljaju donacije. Međutim takav sustav nije održiv i grad Zagreb dužan je prepoznati posebnu ranjivost djece tražitelja azila. Primjer koji najbolje opisuje posebnu ranjivost djece tražitelja azila jest ''škola na daljinu'', koja je za djecu tražitelje azila značila prestanak školovanja zbog nemogućnosti praćenja nastave na daljinu (izostanak tehničke opreme koja bi to omogućila, kao i stabilne internetske veze).</w:t>
            </w:r>
            <w:r w:rsidR="00957901" w:rsidRPr="009F0C74">
              <w:rPr>
                <w:rStyle w:val="FootnoteReference"/>
              </w:rPr>
              <w:footnoteReference w:id="2"/>
            </w:r>
            <w:r w:rsidRPr="009F0C74">
              <w:t xml:space="preserve">  Iste poteškoće primjenjive su i na djecu izbjeglice, čiji roditelji imaju otežan pristup tržištu rada te posljedično teško osiguravaju financijsku stabilnost. Imajući na umu kako su djeca izbjeglice zajedno sa svojim roditeljima novi članovi našeg društva, potrebno im je pružiti podršku i zaista omogućiti kvalitetan pristup sustavu obrazovanja. Nedostatak financijskih sredstava u obiteljima djece tražitelja i djece izbjeglica, kao i djece Roma koja nemaju riješen status državljanstva onemogućava djeci kvalitetnu integraciju u obrazovni sustav koja uključuje, između ostalog, osiguravanje potrebne opreme za školu, kao i mogućnost pokrivanja vannastavnih aktivnosti ili odlazaka na izlet. Posljednje istraživanje napravljeno u sklopu projekta IRCiS</w:t>
            </w:r>
            <w:r w:rsidR="00D32B51" w:rsidRPr="009F0C74">
              <w:rPr>
                <w:rStyle w:val="FootnoteReference"/>
              </w:rPr>
              <w:footnoteReference w:id="3"/>
            </w:r>
            <w:r w:rsidRPr="009F0C74">
              <w:t xml:space="preserve">  pokazalo je koliko je važan pristup djeci </w:t>
            </w:r>
            <w:r w:rsidRPr="009F0C74">
              <w:lastRenderedPageBreak/>
              <w:t xml:space="preserve">izbjeglicama i tražiteljima azila upravo ovakvom sadržaju i aktivnostima, jer se integracija odvija i izvan učeničkih klupa. </w:t>
            </w:r>
          </w:p>
          <w:p w:rsidR="00F6135B" w:rsidRPr="009F0C74" w:rsidRDefault="00F6135B" w:rsidP="002E5CD1">
            <w:pPr>
              <w:jc w:val="both"/>
            </w:pPr>
            <w:r w:rsidRPr="009F0C74">
              <w:t xml:space="preserve">Prethodno navedeni razlozi primjenjivi su i na studente koji imaju odobrenu međunarodnu zaštitu, te se i njima treba omogućiti da imaju pristup stipendijama, a ne da su a priori isključeni. </w:t>
            </w:r>
          </w:p>
          <w:p w:rsidR="00487368" w:rsidRPr="009F0C74" w:rsidRDefault="00487368" w:rsidP="002E5CD1">
            <w:pPr>
              <w:jc w:val="both"/>
            </w:pPr>
          </w:p>
        </w:tc>
        <w:tc>
          <w:tcPr>
            <w:tcW w:w="4961" w:type="dxa"/>
            <w:tcBorders>
              <w:right w:val="thinThickSmallGap" w:sz="24" w:space="0" w:color="auto"/>
            </w:tcBorders>
            <w:shd w:val="clear" w:color="auto" w:fill="auto"/>
          </w:tcPr>
          <w:p w:rsidR="00F3799C" w:rsidRPr="00192A47" w:rsidRDefault="00F3799C" w:rsidP="00487368">
            <w:pPr>
              <w:rPr>
                <w:b/>
              </w:rPr>
            </w:pPr>
            <w:r w:rsidRPr="00192A47">
              <w:rPr>
                <w:b/>
              </w:rPr>
              <w:lastRenderedPageBreak/>
              <w:t>Ne prihvaća se:</w:t>
            </w:r>
          </w:p>
          <w:p w:rsidR="00F3799C" w:rsidRDefault="00F3799C" w:rsidP="00487368"/>
          <w:p w:rsidR="00DB57D0" w:rsidRDefault="00D655F1" w:rsidP="00487368">
            <w:pPr>
              <w:rPr>
                <w:bCs/>
              </w:rPr>
            </w:pPr>
            <w:r>
              <w:t xml:space="preserve">Primjedba/prijedlog se ne prihvaća jer bi proširenjem opsega odluke narušili ravnopravno natjecanje. </w:t>
            </w:r>
            <w:r>
              <w:rPr>
                <w:bCs/>
              </w:rPr>
              <w:t>Grad Zagreb prepoznaje</w:t>
            </w:r>
            <w:r w:rsidRPr="003723B0">
              <w:rPr>
                <w:bCs/>
              </w:rPr>
              <w:t xml:space="preserve"> </w:t>
            </w:r>
            <w:r>
              <w:rPr>
                <w:bCs/>
              </w:rPr>
              <w:t xml:space="preserve">potrebu </w:t>
            </w:r>
            <w:r w:rsidRPr="003723B0">
              <w:rPr>
                <w:bCs/>
              </w:rPr>
              <w:t>da se stipendije prošire i na djecu čiji status nije još regulira</w:t>
            </w:r>
            <w:r w:rsidRPr="003723B0">
              <w:rPr>
                <w:bCs/>
              </w:rPr>
              <w:lastRenderedPageBreak/>
              <w:t xml:space="preserve">n i skupinama koje uživaju međunarodnu zaštitu i borave u gradu Zagrebu. Međutim, u ovom trenutku </w:t>
            </w:r>
            <w:r>
              <w:rPr>
                <w:bCs/>
              </w:rPr>
              <w:t xml:space="preserve">nismo u mogućnosti integrirati tu skupinu učenika i studenata u postojeći model zbog administrativnih prepreka. Podatke o prethodnom uspjehu u školi ili na studijskim programima ili podatke o socioekonomskom statusu, na temelju kojih se će se rangirati učenici i studenti, izbjeglice </w:t>
            </w:r>
            <w:r w:rsidRPr="003723B0">
              <w:rPr>
                <w:bCs/>
              </w:rPr>
              <w:t xml:space="preserve">često </w:t>
            </w:r>
            <w:r>
              <w:rPr>
                <w:bCs/>
              </w:rPr>
              <w:lastRenderedPageBreak/>
              <w:t xml:space="preserve">ne mogu dostaviti jer ne mogu </w:t>
            </w:r>
            <w:r w:rsidRPr="003723B0">
              <w:rPr>
                <w:bCs/>
              </w:rPr>
              <w:t>prikupiti svu</w:t>
            </w:r>
          </w:p>
          <w:p w:rsidR="00F3799C" w:rsidRPr="005001CD" w:rsidRDefault="00F3799C" w:rsidP="00487368">
            <w:pPr>
              <w:rPr>
                <w:b/>
              </w:rPr>
            </w:pPr>
            <w:r w:rsidRPr="003723B0">
              <w:rPr>
                <w:bCs/>
              </w:rPr>
              <w:t>dokumentaciju</w:t>
            </w:r>
            <w:r>
              <w:rPr>
                <w:bCs/>
              </w:rPr>
              <w:t>.</w:t>
            </w:r>
            <w:r w:rsidRPr="003723B0">
              <w:rPr>
                <w:bCs/>
              </w:rPr>
              <w:t xml:space="preserve"> Ovako postavljeni kriteriji doveli bi ili njih ili </w:t>
            </w:r>
            <w:r>
              <w:rPr>
                <w:bCs/>
              </w:rPr>
              <w:t>učenike i studente koji te podatke dostavljaju</w:t>
            </w:r>
            <w:r w:rsidRPr="003723B0">
              <w:rPr>
                <w:bCs/>
              </w:rPr>
              <w:t xml:space="preserve"> u neravnopravan položaj</w:t>
            </w:r>
            <w:r>
              <w:rPr>
                <w:bCs/>
              </w:rPr>
              <w:t>.</w:t>
            </w:r>
            <w:r w:rsidRPr="003723B0">
              <w:rPr>
                <w:bCs/>
              </w:rPr>
              <w:t xml:space="preserve"> Grad Zagreb će </w:t>
            </w:r>
            <w:r w:rsidRPr="00A443C7">
              <w:rPr>
                <w:bCs/>
              </w:rPr>
              <w:t>uskoro</w:t>
            </w:r>
            <w:r w:rsidRPr="003723B0">
              <w:rPr>
                <w:bCs/>
              </w:rPr>
              <w:t xml:space="preserve"> predstaviti Akcijski plan integracije tražitelja i osoba pod međunarodnom zaštitom unutar kojeg ćemo u</w:t>
            </w:r>
            <w:r>
              <w:rPr>
                <w:bCs/>
              </w:rPr>
              <w:t>skoro</w:t>
            </w:r>
            <w:r w:rsidRPr="003723B0">
              <w:rPr>
                <w:bCs/>
              </w:rPr>
              <w:t xml:space="preserve"> </w:t>
            </w:r>
            <w:r w:rsidRPr="00A443C7">
              <w:rPr>
                <w:bCs/>
              </w:rPr>
              <w:t>osmisliti</w:t>
            </w:r>
            <w:r w:rsidRPr="003723B0">
              <w:rPr>
                <w:bCs/>
              </w:rPr>
              <w:t xml:space="preserve"> </w:t>
            </w:r>
            <w:r>
              <w:rPr>
                <w:bCs/>
              </w:rPr>
              <w:t xml:space="preserve">i modele stipendiranja za </w:t>
            </w:r>
            <w:r w:rsidRPr="009F0C74">
              <w:rPr>
                <w:bCs/>
              </w:rPr>
              <w:t xml:space="preserve">djecu </w:t>
            </w:r>
            <w:r w:rsidRPr="009F0C74">
              <w:t xml:space="preserve">tražitelje azila, djecu izbjeglice i-ili djecu pripadnike romske </w:t>
            </w:r>
            <w:r w:rsidRPr="009F0C74">
              <w:lastRenderedPageBreak/>
              <w:t>manjine čiji se roditelji nisu na popisu stanovništva izjasnili kao Romi te nemaju državljanstvo.</w:t>
            </w:r>
          </w:p>
        </w:tc>
      </w:tr>
      <w:tr w:rsidR="00487368" w:rsidTr="001A1654">
        <w:trPr>
          <w:trHeight w:val="899"/>
        </w:trPr>
        <w:tc>
          <w:tcPr>
            <w:tcW w:w="529" w:type="dxa"/>
            <w:tcBorders>
              <w:left w:val="thinThickSmallGap" w:sz="24" w:space="0" w:color="auto"/>
            </w:tcBorders>
            <w:shd w:val="clear" w:color="auto" w:fill="auto"/>
          </w:tcPr>
          <w:p w:rsidR="00487368" w:rsidRDefault="00487368" w:rsidP="00487368"/>
        </w:tc>
        <w:tc>
          <w:tcPr>
            <w:tcW w:w="1843" w:type="dxa"/>
            <w:shd w:val="clear" w:color="auto" w:fill="auto"/>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8F6F4E" w:rsidTr="009C569A">
              <w:trPr>
                <w:trHeight w:val="299"/>
              </w:trPr>
              <w:tc>
                <w:tcPr>
                  <w:tcW w:w="12240" w:type="dxa"/>
                </w:tcPr>
                <w:p w:rsidR="008F6F4E" w:rsidRDefault="008F6F4E" w:rsidP="00F6135B">
                  <w:pPr>
                    <w:pStyle w:val="Default"/>
                    <w:rPr>
                      <w:sz w:val="23"/>
                      <w:szCs w:val="23"/>
                    </w:rPr>
                  </w:pPr>
                </w:p>
              </w:tc>
            </w:tr>
          </w:tbl>
          <w:p w:rsidR="00487368" w:rsidRDefault="00487368" w:rsidP="00487368"/>
        </w:tc>
        <w:tc>
          <w:tcPr>
            <w:tcW w:w="1701" w:type="dxa"/>
            <w:shd w:val="clear" w:color="auto" w:fill="auto"/>
          </w:tcPr>
          <w:p w:rsidR="00487368" w:rsidRPr="00773163" w:rsidRDefault="00F6135B" w:rsidP="009C569A">
            <w:pPr>
              <w:rPr>
                <w:color w:val="FF0000"/>
              </w:rPr>
            </w:pPr>
            <w:r w:rsidRPr="009F0C74">
              <w:t>Članak 5.</w:t>
            </w:r>
          </w:p>
        </w:tc>
        <w:tc>
          <w:tcPr>
            <w:tcW w:w="5812" w:type="dxa"/>
            <w:shd w:val="clear" w:color="auto" w:fill="auto"/>
          </w:tcPr>
          <w:p w:rsidR="00F6135B" w:rsidRPr="009F0C74" w:rsidRDefault="00F6135B" w:rsidP="002E5CD1">
            <w:pPr>
              <w:jc w:val="both"/>
            </w:pPr>
            <w:r w:rsidRPr="009F0C74">
              <w:t xml:space="preserve">U članku 5. se mora kao uvjet maknuti državljanstvo, ili se moraju postaviti iznimke koje će uključivati: </w:t>
            </w:r>
          </w:p>
          <w:p w:rsidR="00F6135B" w:rsidRPr="009F0C74" w:rsidRDefault="00F6135B" w:rsidP="002E5CD1">
            <w:pPr>
              <w:jc w:val="both"/>
            </w:pPr>
            <w:r w:rsidRPr="009F0C74">
              <w:t>•</w:t>
            </w:r>
            <w:r w:rsidRPr="009F0C74">
              <w:tab/>
              <w:t xml:space="preserve">Djecu tražitelje azila </w:t>
            </w:r>
          </w:p>
          <w:p w:rsidR="00F6135B" w:rsidRPr="009F0C74" w:rsidRDefault="00F6135B" w:rsidP="002E5CD1">
            <w:pPr>
              <w:jc w:val="both"/>
            </w:pPr>
            <w:r w:rsidRPr="009F0C74">
              <w:t>•</w:t>
            </w:r>
            <w:r w:rsidRPr="009F0C74">
              <w:tab/>
              <w:t xml:space="preserve">Djecu izbjeglice </w:t>
            </w:r>
          </w:p>
          <w:p w:rsidR="00F6135B" w:rsidRPr="009F0C74" w:rsidRDefault="00F6135B" w:rsidP="002E5CD1">
            <w:pPr>
              <w:jc w:val="both"/>
            </w:pPr>
            <w:r w:rsidRPr="009F0C74">
              <w:t>•</w:t>
            </w:r>
            <w:r w:rsidRPr="009F0C74">
              <w:tab/>
              <w:t xml:space="preserve">Djecu Rome koja nemaju državljanstvo </w:t>
            </w:r>
          </w:p>
          <w:p w:rsidR="008F6F4E" w:rsidRPr="00773163" w:rsidRDefault="00F6135B" w:rsidP="002E5CD1">
            <w:pPr>
              <w:jc w:val="both"/>
              <w:rPr>
                <w:color w:val="FF0000"/>
              </w:rPr>
            </w:pPr>
            <w:r w:rsidRPr="009F0C74">
              <w:t>•</w:t>
            </w:r>
            <w:r w:rsidRPr="009F0C74">
              <w:tab/>
              <w:t>Studente kojima je odobrena međunarodna zaštita</w:t>
            </w:r>
          </w:p>
        </w:tc>
        <w:tc>
          <w:tcPr>
            <w:tcW w:w="4961" w:type="dxa"/>
            <w:tcBorders>
              <w:right w:val="thinThickSmallGap" w:sz="24" w:space="0" w:color="auto"/>
            </w:tcBorders>
            <w:shd w:val="clear" w:color="auto" w:fill="auto"/>
          </w:tcPr>
          <w:p w:rsidR="00F3799C" w:rsidRDefault="00F3799C" w:rsidP="00F3799C">
            <w:r>
              <w:rPr>
                <w:b/>
              </w:rPr>
              <w:t>Ne prihvaća se:</w:t>
            </w:r>
            <w:r>
              <w:t xml:space="preserve"> </w:t>
            </w:r>
          </w:p>
          <w:p w:rsidR="00F3799C" w:rsidRPr="009F0C74" w:rsidRDefault="00F3799C" w:rsidP="00F3799C">
            <w:pPr>
              <w:rPr>
                <w:bCs/>
              </w:rPr>
            </w:pPr>
            <w:r>
              <w:t>Primj</w:t>
            </w:r>
            <w:r w:rsidR="00D9445A">
              <w:t>edba/prijedlog se ne prihvaća iz razloga navedenim pod rednim brojem 4.</w:t>
            </w:r>
          </w:p>
          <w:p w:rsidR="00DB57D0" w:rsidRPr="005001CD" w:rsidRDefault="00DB57D0" w:rsidP="00487368">
            <w:pPr>
              <w:rPr>
                <w:b/>
              </w:rPr>
            </w:pPr>
          </w:p>
        </w:tc>
      </w:tr>
      <w:tr w:rsidR="00487368" w:rsidTr="001A1654">
        <w:trPr>
          <w:trHeight w:val="899"/>
        </w:trPr>
        <w:tc>
          <w:tcPr>
            <w:tcW w:w="529" w:type="dxa"/>
            <w:tcBorders>
              <w:left w:val="thinThickSmallGap" w:sz="24" w:space="0" w:color="auto"/>
            </w:tcBorders>
            <w:shd w:val="clear" w:color="auto" w:fill="auto"/>
          </w:tcPr>
          <w:p w:rsidR="00487368" w:rsidRDefault="00F6135B" w:rsidP="00487368">
            <w:r>
              <w:t>5</w:t>
            </w:r>
            <w:r w:rsidR="008F6F4E">
              <w:t>.</w:t>
            </w:r>
          </w:p>
        </w:tc>
        <w:tc>
          <w:tcPr>
            <w:tcW w:w="1843" w:type="dxa"/>
            <w:shd w:val="clear" w:color="auto" w:fill="auto"/>
          </w:tcPr>
          <w:p w:rsidR="00487368" w:rsidRDefault="00F6135B" w:rsidP="00487368">
            <w:r>
              <w:t>Izv.prof.dr.sc. Olja Družić Ljubotina</w:t>
            </w:r>
          </w:p>
          <w:p w:rsidR="008F6F4E" w:rsidRDefault="008F6F4E" w:rsidP="00487368"/>
        </w:tc>
        <w:tc>
          <w:tcPr>
            <w:tcW w:w="1701" w:type="dxa"/>
            <w:shd w:val="clear" w:color="auto" w:fill="auto"/>
          </w:tcPr>
          <w:p w:rsidR="00487368" w:rsidRDefault="00F6135B" w:rsidP="00487368">
            <w:r>
              <w:t>Načelne primjedbe</w:t>
            </w:r>
          </w:p>
        </w:tc>
        <w:tc>
          <w:tcPr>
            <w:tcW w:w="5812" w:type="dxa"/>
            <w:shd w:val="clear" w:color="auto" w:fill="auto"/>
          </w:tcPr>
          <w:p w:rsidR="00F6135B" w:rsidRPr="00F6135B" w:rsidRDefault="00F6135B" w:rsidP="002E5CD1">
            <w:pPr>
              <w:jc w:val="both"/>
            </w:pPr>
            <w:r w:rsidRPr="00F6135B">
              <w:t>Predloženim nacrtom prijedloga „Odluke o Stipendiji Grada Zagreba za učenike i studente na temelju socio-ekonomskog statusa“ većim se dijelom uvažavaju specifičnosti položaja djece i mladih osoba koja žive u uvjetima siromaštva odnosno koja su slabijeg soci-ekonomskog statusa. No, postoje neke nedorečenosti u prijedlogu ovog nacrta te potreba za revidiranjem nekih kriterija koji su važni za stipendiranje učenika/studenata slabijeg socio-ekonomskog statusa.</w:t>
            </w:r>
          </w:p>
          <w:p w:rsidR="008F6F4E" w:rsidRDefault="008F6F4E" w:rsidP="002E5CD1">
            <w:pPr>
              <w:jc w:val="both"/>
            </w:pPr>
          </w:p>
        </w:tc>
        <w:tc>
          <w:tcPr>
            <w:tcW w:w="4961" w:type="dxa"/>
            <w:tcBorders>
              <w:right w:val="thinThickSmallGap" w:sz="24" w:space="0" w:color="auto"/>
            </w:tcBorders>
            <w:shd w:val="clear" w:color="auto" w:fill="auto"/>
          </w:tcPr>
          <w:p w:rsidR="0034407F" w:rsidRDefault="0034407F" w:rsidP="00714108"/>
        </w:tc>
      </w:tr>
      <w:tr w:rsidR="008F6F4E" w:rsidTr="001A1654">
        <w:trPr>
          <w:trHeight w:val="899"/>
        </w:trPr>
        <w:tc>
          <w:tcPr>
            <w:tcW w:w="529" w:type="dxa"/>
            <w:tcBorders>
              <w:left w:val="thinThickSmallGap" w:sz="24" w:space="0" w:color="auto"/>
            </w:tcBorders>
            <w:shd w:val="clear" w:color="auto" w:fill="auto"/>
          </w:tcPr>
          <w:p w:rsidR="008F6F4E" w:rsidRDefault="008F6F4E" w:rsidP="00487368"/>
        </w:tc>
        <w:tc>
          <w:tcPr>
            <w:tcW w:w="1843" w:type="dxa"/>
            <w:shd w:val="clear" w:color="auto" w:fill="auto"/>
          </w:tcPr>
          <w:p w:rsidR="008F6F4E" w:rsidRDefault="008F6F4E" w:rsidP="00487368"/>
        </w:tc>
        <w:tc>
          <w:tcPr>
            <w:tcW w:w="1701" w:type="dxa"/>
            <w:shd w:val="clear" w:color="auto" w:fill="auto"/>
          </w:tcPr>
          <w:p w:rsidR="008F6F4E" w:rsidRDefault="00F6135B" w:rsidP="009C569A">
            <w:r>
              <w:t xml:space="preserve">Članak 1. </w:t>
            </w:r>
          </w:p>
        </w:tc>
        <w:tc>
          <w:tcPr>
            <w:tcW w:w="5812" w:type="dxa"/>
            <w:shd w:val="clear" w:color="auto" w:fill="auto"/>
          </w:tcPr>
          <w:p w:rsidR="00F6135B" w:rsidRDefault="00F6135B" w:rsidP="002E5CD1">
            <w:pPr>
              <w:jc w:val="both"/>
            </w:pPr>
            <w:r>
              <w:t xml:space="preserve">Iako se u članku 1. niti u ranijoj odluci nije eksplicitno navodilo ubrajaju li se i privatne škole i privatni studiji (koji se mogu uvrstiti u navedene vrste studija u ovom članku) važno je uzeti u obzir da se svakako omogući studentima i upis u privatne srednje škole i na privatne studije. Naime, znalo je biti prijepora oko toga je li u redu da se djeca i mladi slabijeg socio-ekonomskog statusa upisuju u privatne srednje škole i na privatne studije, no, to ne bi trebala biti smetnja jer je jasno iz njihovog materijalnog statusa da si to ne mogu priuštiti. S druge strane, neke privatne srednje škole i privatni studiji kroz manji dio upisne kvote omogućuju da njihov studij upišu studenti slabijeg materijalnog statusa. </w:t>
            </w:r>
          </w:p>
          <w:p w:rsidR="00F6135B" w:rsidRDefault="00F6135B" w:rsidP="002E5CD1">
            <w:pPr>
              <w:jc w:val="both"/>
            </w:pPr>
            <w:r>
              <w:t xml:space="preserve">Ako kandidat pohađa privatnu obrazovnu ustanovu, on ne financira svoje školovanje iz vlastitih sredstava (jer prilažu dokaz iz porezne uprave da tih sredstava nema). Neke privatne obrazovne ustanove u svojoj viziji i misiji razvoja njeguju socijalnu osjetljivost i imaju svijest o tome da djeci i mladima lošijeg materijalnog statusa takve obrazovne ustanove nisu dostupne zbog visokih financijskih izdataka te stoga stipendiraju nekoliko učenika/studenata koji si ne mogu priuštiti takvu školu ili studij. Na taj način pokazuju svoju socijalnu osjetljivost i svjesnost o važnosti ulaganja u obrazovanje mladih osoba koje žive u uvjetima siromaštva i na taj im način daju šansu da se obrazuju u željenom smjeru. Grad pritom nije zakinut i participira s istim iznosom za sve kandidate, bez obzira školuju li se u državnoj ili privatnoj obrazovnoj ustanovi. Također, nekad se dogodi da student ne može zbog ocjena upisati državni studij pa mu preostaje privatni. Drugo, može se dogoditi da ono zvanje koje želi steći ne nude državni fakulteti, već samo privatni. To se pogotovo odnosi na privatna </w:t>
            </w:r>
            <w:r>
              <w:lastRenderedPageBreak/>
              <w:t>sveučilišta i veleučilišta koja educiraju za neka zvanja koja ne nude državni fakulteti. Privatne srednjoškolske i visokoškolske ustanove su i zakonski izjednačene s državnima u smislu svih prava koje osoba stječe nakon završenog studija ili srednje škole. Ključan objektivni kriterij je dohodovni cenzus i to da su u našim zakonima privatne i državne obrazovne ustanove izjednačene s obzirom na njihovo vrednovanje i konačno zvanje koje će neka osoba na kraju školovanja dobiti. Stoga je u daljnjem tekstu potrebno ne navoditi samo Sveučilište u Zagrebu unutar kojeg kandidat može ostvariti stipendiju, već je potrebno navesti: sveučilišta i studiji koji djeluju unutar Grada Zagreba.</w:t>
            </w:r>
          </w:p>
          <w:p w:rsidR="00DB57D0" w:rsidRDefault="00DB57D0" w:rsidP="002E5CD1">
            <w:pPr>
              <w:jc w:val="both"/>
            </w:pPr>
          </w:p>
        </w:tc>
        <w:tc>
          <w:tcPr>
            <w:tcW w:w="4961" w:type="dxa"/>
            <w:tcBorders>
              <w:right w:val="thinThickSmallGap" w:sz="24" w:space="0" w:color="auto"/>
            </w:tcBorders>
            <w:shd w:val="clear" w:color="auto" w:fill="auto"/>
          </w:tcPr>
          <w:p w:rsidR="00C82EC3" w:rsidRDefault="00C82EC3" w:rsidP="00C82EC3">
            <w:r w:rsidRPr="00426474">
              <w:rPr>
                <w:b/>
              </w:rPr>
              <w:lastRenderedPageBreak/>
              <w:t>Prihvaća se:</w:t>
            </w:r>
            <w:r>
              <w:t xml:space="preserve"> </w:t>
            </w:r>
          </w:p>
          <w:p w:rsidR="00DB57D0" w:rsidRDefault="00C82EC3" w:rsidP="000A7EF4">
            <w:r>
              <w:t>Primjedba/prijedlog se prihvaća i ugrađen je u članak 5. Odluke.</w:t>
            </w:r>
          </w:p>
        </w:tc>
      </w:tr>
      <w:tr w:rsidR="008F6F4E" w:rsidTr="001A1654">
        <w:trPr>
          <w:trHeight w:val="899"/>
        </w:trPr>
        <w:tc>
          <w:tcPr>
            <w:tcW w:w="529" w:type="dxa"/>
            <w:tcBorders>
              <w:left w:val="thinThickSmallGap" w:sz="24" w:space="0" w:color="auto"/>
            </w:tcBorders>
            <w:shd w:val="clear" w:color="auto" w:fill="auto"/>
          </w:tcPr>
          <w:p w:rsidR="008F6F4E" w:rsidRPr="00714108" w:rsidRDefault="008F6F4E" w:rsidP="00487368"/>
        </w:tc>
        <w:tc>
          <w:tcPr>
            <w:tcW w:w="1843" w:type="dxa"/>
            <w:shd w:val="clear" w:color="auto" w:fill="auto"/>
          </w:tcPr>
          <w:p w:rsidR="008F6F4E" w:rsidRPr="00714108" w:rsidRDefault="008F6F4E" w:rsidP="00F6135B"/>
        </w:tc>
        <w:tc>
          <w:tcPr>
            <w:tcW w:w="1701" w:type="dxa"/>
            <w:shd w:val="clear" w:color="auto" w:fill="auto"/>
          </w:tcPr>
          <w:p w:rsidR="008F6F4E" w:rsidRPr="00714108" w:rsidRDefault="00F6135B" w:rsidP="00487368">
            <w:r>
              <w:t>Članak 3.</w:t>
            </w:r>
          </w:p>
        </w:tc>
        <w:tc>
          <w:tcPr>
            <w:tcW w:w="5812" w:type="dxa"/>
            <w:shd w:val="clear" w:color="auto" w:fill="auto"/>
          </w:tcPr>
          <w:p w:rsidR="00F6135B" w:rsidRDefault="004A237A" w:rsidP="002E5CD1">
            <w:pPr>
              <w:jc w:val="both"/>
            </w:pPr>
            <w:r>
              <w:t>U</w:t>
            </w:r>
            <w:r w:rsidR="00F6135B">
              <w:t xml:space="preserve"> ovom članku se navodi da „Mjesečna Stipendija iznosi 2.000 kuna neto za učenike i 2.500 kuna neto za studente“. Komentar: Iako je iznos stipendije u odnosu na državne stipendije ili stipendije unutar drugih JLRS i dalje viši, došlo je do sniženja iznosa stipendija u odnosu na ranije razdoblje. Ako u neki segment ima smisla ulagati onda je to obrazovanje djece i mladih koji žive u uvjetima siromaštva. Smatram da kod ove kategorije djece/mladih ne bi trebalo snižavati iznos stipendija jer je njima znatno teže podmiriti troškove obrazovanja od npr. djece/mladih koji dobivaju stipendije za izvrsnost (koji su nerijetko srednjeg ili visokog materijalnog statusa). Razumijem da se vodilo računa o načelu pravednosti, no, kada su u pitanju djeca/mladi koji žive u siromaštvu, oni nemaju drugih izvora iz kojih bi mogli podmiriti troškove školovanja osim stipendija, dok neke druge kategorije stipendista imaju. Ključna karika u izlasku iz siromaštva je ulaganje u obrazovanje. Brojna istraživanja i dokumenti o tome govore. Stoga su siromašna djeca/mladi prepoznati kao ključna skupina koju je značajno više potrebno (i materijalno) poduprijeti u daljnjem obrazovanju. Mnogo je istraživanja koja to potvrđuju, a trenutno je jedan od ključnih aktualnih dokumenata koji to apostrofira Child Guarantee: </w:t>
            </w:r>
          </w:p>
          <w:p w:rsidR="00F6135B" w:rsidRDefault="00F6135B" w:rsidP="002E5CD1">
            <w:pPr>
              <w:jc w:val="both"/>
            </w:pPr>
            <w:r w:rsidRPr="004A237A">
              <w:rPr>
                <w:i/>
              </w:rPr>
              <w:t>European Commission (2020), Feasibility Study for a Child Guarantee,</w:t>
            </w:r>
            <w:r>
              <w:t xml:space="preserve"> </w:t>
            </w:r>
            <w:hyperlink r:id="rId8" w:history="1">
              <w:r w:rsidR="004A237A" w:rsidRPr="00DC6D19">
                <w:rPr>
                  <w:rStyle w:val="Hyperlink"/>
                </w:rPr>
                <w:t>https://op.europa.eu/en/publication-detail/-/publication/c312c468-c7e0-11ea-adf7-01aa75ed71a1/language-en</w:t>
              </w:r>
            </w:hyperlink>
            <w:r w:rsidR="004A237A">
              <w:t xml:space="preserve"> </w:t>
            </w:r>
            <w:r>
              <w:t xml:space="preserve">  </w:t>
            </w:r>
          </w:p>
          <w:p w:rsidR="008F6F4E" w:rsidRPr="00714108" w:rsidRDefault="00F6135B" w:rsidP="004A237A">
            <w:pPr>
              <w:jc w:val="both"/>
            </w:pPr>
            <w:r w:rsidRPr="004A237A">
              <w:rPr>
                <w:i/>
              </w:rPr>
              <w:t>European Commission (2021), Study on the economic implementing framework of a possible EU Child Guarantee Scheme including its financial foundation – Final Report,</w:t>
            </w:r>
            <w:r>
              <w:t xml:space="preserve"> </w:t>
            </w:r>
            <w:hyperlink r:id="rId9" w:history="1">
              <w:r w:rsidR="004A237A" w:rsidRPr="00DC6D19">
                <w:rPr>
                  <w:rStyle w:val="Hyperlink"/>
                </w:rPr>
                <w:t>https://op.europa.eu/en/publication-detail/-/publication/fb5ea446-ad4e-11eb-9767-01aa75ed71a1/language-cs</w:t>
              </w:r>
            </w:hyperlink>
            <w:r w:rsidR="004A237A">
              <w:t xml:space="preserve"> </w:t>
            </w:r>
            <w:r>
              <w:t>To sve se jednako odnosi i na djecu romske nacionalne manjine koja također ostvaruju stipendije, a koja mahom žive u ekstremnom siromaštvu.</w:t>
            </w:r>
          </w:p>
        </w:tc>
        <w:tc>
          <w:tcPr>
            <w:tcW w:w="4961" w:type="dxa"/>
            <w:tcBorders>
              <w:right w:val="thinThickSmallGap" w:sz="24" w:space="0" w:color="auto"/>
            </w:tcBorders>
            <w:shd w:val="clear" w:color="auto" w:fill="auto"/>
          </w:tcPr>
          <w:p w:rsidR="00964E80" w:rsidRDefault="00ED0F76" w:rsidP="00964E80">
            <w:r>
              <w:rPr>
                <w:b/>
              </w:rPr>
              <w:t>P</w:t>
            </w:r>
            <w:r w:rsidR="004323B6" w:rsidRPr="00C82EC3">
              <w:rPr>
                <w:b/>
              </w:rPr>
              <w:t>rihvaća se:</w:t>
            </w:r>
            <w:r w:rsidR="00C82EC3">
              <w:rPr>
                <w:b/>
              </w:rPr>
              <w:t xml:space="preserve"> </w:t>
            </w:r>
          </w:p>
          <w:p w:rsidR="00ED0F76" w:rsidRPr="00964E80" w:rsidRDefault="00ED0F76" w:rsidP="00ED0F76">
            <w:r>
              <w:t>Primjedba/prijedlog se prihvaća i ugrađen je u članak 3. Odluke.</w:t>
            </w:r>
          </w:p>
        </w:tc>
      </w:tr>
      <w:tr w:rsidR="008F6F4E" w:rsidTr="001A1654">
        <w:trPr>
          <w:trHeight w:val="899"/>
        </w:trPr>
        <w:tc>
          <w:tcPr>
            <w:tcW w:w="529" w:type="dxa"/>
            <w:tcBorders>
              <w:left w:val="thinThickSmallGap" w:sz="24" w:space="0" w:color="auto"/>
            </w:tcBorders>
            <w:shd w:val="clear" w:color="auto" w:fill="auto"/>
          </w:tcPr>
          <w:p w:rsidR="008F6F4E" w:rsidRDefault="008F6F4E" w:rsidP="00487368"/>
        </w:tc>
        <w:tc>
          <w:tcPr>
            <w:tcW w:w="1843" w:type="dxa"/>
            <w:shd w:val="clear" w:color="auto" w:fill="auto"/>
          </w:tcPr>
          <w:p w:rsidR="008F6F4E" w:rsidRDefault="008F6F4E" w:rsidP="00487368"/>
        </w:tc>
        <w:tc>
          <w:tcPr>
            <w:tcW w:w="1701" w:type="dxa"/>
            <w:shd w:val="clear" w:color="auto" w:fill="auto"/>
          </w:tcPr>
          <w:p w:rsidR="008F6F4E" w:rsidRDefault="009C569A" w:rsidP="00B97934">
            <w:r>
              <w:t xml:space="preserve">Članak </w:t>
            </w:r>
            <w:r w:rsidR="00B97934">
              <w:t>4</w:t>
            </w:r>
            <w:r w:rsidR="00B75ED3">
              <w:t>.</w:t>
            </w:r>
            <w:r w:rsidR="00B97934">
              <w:t xml:space="preserve"> alineja 2.</w:t>
            </w:r>
          </w:p>
        </w:tc>
        <w:tc>
          <w:tcPr>
            <w:tcW w:w="5812" w:type="dxa"/>
            <w:shd w:val="clear" w:color="auto" w:fill="auto"/>
          </w:tcPr>
          <w:p w:rsidR="008F6F4E" w:rsidRDefault="00B97934" w:rsidP="004A237A">
            <w:pPr>
              <w:jc w:val="both"/>
            </w:pPr>
            <w:r>
              <w:t xml:space="preserve"> </w:t>
            </w:r>
            <w:r w:rsidR="004A237A">
              <w:t>-alineja 2. - n</w:t>
            </w:r>
            <w:r w:rsidRPr="00B97934">
              <w:t xml:space="preserve">avodi se: „Stipendije za studente utvrđuju se u omjeru zastupljenosti znanstveno-istraživačkih i umjetničkih studija na Sveučilištu u Zagrebu  prema upisnoj kvoti“. </w:t>
            </w:r>
            <w:r w:rsidRPr="004A237A">
              <w:rPr>
                <w:u w:val="single"/>
              </w:rPr>
              <w:t>Komentar</w:t>
            </w:r>
            <w:r w:rsidRPr="00B97934">
              <w:t>: S obzirom da u Gradu Zagrebu postoje i druga sveučilišta i stručni studiji potrebno je kandidatima omogućiti stipendiranje i na njima (ako ulaze u kvotu studenata koji ostvaruju upis na osnovu slabijeg soci-ekonomskog statusa). Stoga predlažem izostaviti „Sveučilište u Zagrebu“ te ga zamijeniti sa sveučilištima i stručnim studijima u Zagrebu. U ranijem komentaru na Članak 1. je sve obrazloženo.</w:t>
            </w:r>
          </w:p>
        </w:tc>
        <w:tc>
          <w:tcPr>
            <w:tcW w:w="4961" w:type="dxa"/>
            <w:tcBorders>
              <w:right w:val="thinThickSmallGap" w:sz="24" w:space="0" w:color="auto"/>
            </w:tcBorders>
            <w:shd w:val="clear" w:color="auto" w:fill="auto"/>
          </w:tcPr>
          <w:p w:rsidR="002B6DF0" w:rsidRPr="00773163" w:rsidRDefault="00E1021F" w:rsidP="00487368">
            <w:pPr>
              <w:rPr>
                <w:b/>
              </w:rPr>
            </w:pPr>
            <w:r w:rsidRPr="00773163">
              <w:rPr>
                <w:b/>
              </w:rPr>
              <w:t>Djelomično se</w:t>
            </w:r>
            <w:r w:rsidR="004323B6" w:rsidRPr="00773163">
              <w:rPr>
                <w:b/>
              </w:rPr>
              <w:t xml:space="preserve"> prihvaća:</w:t>
            </w:r>
          </w:p>
          <w:p w:rsidR="009B1125" w:rsidRPr="00773163" w:rsidRDefault="002B6DF0" w:rsidP="002B6DF0">
            <w:pPr>
              <w:jc w:val="both"/>
            </w:pPr>
            <w:r w:rsidRPr="00773163">
              <w:t>Primjedba/prijedl</w:t>
            </w:r>
            <w:r w:rsidR="00E22BFC" w:rsidRPr="00773163">
              <w:t xml:space="preserve">og da </w:t>
            </w:r>
            <w:r w:rsidR="00EC2537" w:rsidRPr="00773163">
              <w:t>ost</w:t>
            </w:r>
            <w:r w:rsidR="00EB64A1" w:rsidRPr="00773163">
              <w:t>varivanje ove Stipendije treba</w:t>
            </w:r>
            <w:r w:rsidR="00E22BFC" w:rsidRPr="00773163">
              <w:t xml:space="preserve"> </w:t>
            </w:r>
            <w:r w:rsidR="00EC2537" w:rsidRPr="00773163">
              <w:t>omogućiti</w:t>
            </w:r>
            <w:r w:rsidR="00E22BFC" w:rsidRPr="00773163">
              <w:t xml:space="preserve"> i </w:t>
            </w:r>
            <w:r w:rsidRPr="00773163">
              <w:t>studenti</w:t>
            </w:r>
            <w:r w:rsidR="00EC2537" w:rsidRPr="00773163">
              <w:t>ma</w:t>
            </w:r>
            <w:r w:rsidRPr="00773163">
              <w:t xml:space="preserve"> sveučilišnih i stručnih studija u Gradu Zagreb</w:t>
            </w:r>
            <w:r w:rsidRPr="00773163">
              <w:lastRenderedPageBreak/>
              <w:t xml:space="preserve">u prihvaća </w:t>
            </w:r>
            <w:r w:rsidR="00E22BFC" w:rsidRPr="00773163">
              <w:t xml:space="preserve">se </w:t>
            </w:r>
            <w:r w:rsidR="00EC2537" w:rsidRPr="00773163">
              <w:t>te je isto ugrađeno u</w:t>
            </w:r>
            <w:r w:rsidR="00E22BFC" w:rsidRPr="00773163">
              <w:t xml:space="preserve"> </w:t>
            </w:r>
            <w:r w:rsidR="00BF0320" w:rsidRPr="00773163">
              <w:t>članak  5. Odluke</w:t>
            </w:r>
            <w:r w:rsidR="00EC2537" w:rsidRPr="00773163">
              <w:t>.</w:t>
            </w:r>
            <w:r w:rsidRPr="00773163">
              <w:t xml:space="preserve"> </w:t>
            </w:r>
            <w:r w:rsidR="007B459C" w:rsidRPr="00773163">
              <w:t xml:space="preserve"> </w:t>
            </w:r>
          </w:p>
          <w:p w:rsidR="00E1021F" w:rsidRDefault="009B1125" w:rsidP="009B1125">
            <w:pPr>
              <w:jc w:val="both"/>
            </w:pPr>
            <w:r w:rsidRPr="00773163">
              <w:t>Prijedlog/primjedba da se mijenja alineja 2. članka 4. se ne prihvaća jer ista s</w:t>
            </w:r>
            <w:r w:rsidR="007B459C" w:rsidRPr="00773163">
              <w:t xml:space="preserve">amo propisuje da </w:t>
            </w:r>
            <w:r w:rsidR="002B6DF0" w:rsidRPr="00773163">
              <w:t xml:space="preserve">će se ukupan broj stipendija za studente raspoređivati na znanstveno-istraživačke </w:t>
            </w:r>
            <w:r w:rsidR="002B6DF0" w:rsidRPr="00D81824">
              <w:rPr>
                <w:color w:val="000000" w:themeColor="text1"/>
              </w:rPr>
              <w:t xml:space="preserve">i </w:t>
            </w:r>
            <w:r w:rsidR="002B6DF0" w:rsidRPr="00773163">
              <w:t>umjetničke studije razmjerno njihovoj zastuplje</w:t>
            </w:r>
            <w:r w:rsidR="00BF0320" w:rsidRPr="00773163">
              <w:t>nosti u Sveučilištu u Zagrebu</w:t>
            </w:r>
            <w:r w:rsidRPr="00773163">
              <w:t>.</w:t>
            </w:r>
            <w:r w:rsidR="00BF0320" w:rsidRPr="00773163">
              <w:t xml:space="preserve"> </w:t>
            </w:r>
            <w:r w:rsidR="005A4DF0">
              <w:t xml:space="preserve">Odredba je uvedena kako bi se povećao broj stipendista studenata umjetničkih studija.  </w:t>
            </w:r>
          </w:p>
        </w:tc>
      </w:tr>
      <w:tr w:rsidR="008F6F4E" w:rsidTr="001A1654">
        <w:trPr>
          <w:trHeight w:val="899"/>
        </w:trPr>
        <w:tc>
          <w:tcPr>
            <w:tcW w:w="529" w:type="dxa"/>
            <w:tcBorders>
              <w:left w:val="thinThickSmallGap" w:sz="24" w:space="0" w:color="auto"/>
            </w:tcBorders>
            <w:shd w:val="clear" w:color="auto" w:fill="auto"/>
          </w:tcPr>
          <w:p w:rsidR="008F6F4E" w:rsidRDefault="008F6F4E" w:rsidP="00487368"/>
        </w:tc>
        <w:tc>
          <w:tcPr>
            <w:tcW w:w="1843" w:type="dxa"/>
            <w:shd w:val="clear" w:color="auto" w:fill="auto"/>
          </w:tcPr>
          <w:p w:rsidR="008F6F4E" w:rsidRDefault="008F6F4E" w:rsidP="00487368"/>
        </w:tc>
        <w:tc>
          <w:tcPr>
            <w:tcW w:w="1701" w:type="dxa"/>
            <w:shd w:val="clear" w:color="auto" w:fill="auto"/>
          </w:tcPr>
          <w:p w:rsidR="008F6F4E" w:rsidRDefault="009C569A" w:rsidP="004A237A">
            <w:r>
              <w:t xml:space="preserve">Članak </w:t>
            </w:r>
            <w:r w:rsidR="00B97934">
              <w:t>5. (UČENICI)</w:t>
            </w:r>
          </w:p>
        </w:tc>
        <w:tc>
          <w:tcPr>
            <w:tcW w:w="5812" w:type="dxa"/>
            <w:shd w:val="clear" w:color="auto" w:fill="auto"/>
          </w:tcPr>
          <w:p w:rsidR="008F6F4E" w:rsidRDefault="004A237A" w:rsidP="004A237A">
            <w:pPr>
              <w:jc w:val="both"/>
            </w:pPr>
            <w:r>
              <w:t xml:space="preserve">- </w:t>
            </w:r>
            <w:r w:rsidR="00B97934" w:rsidRPr="00B97934">
              <w:t xml:space="preserve">alineja 5. u kojoj se navodi da pravo na dodjelu stipendije imaju učenici po sljedećem kriteriju:  „da nisu, osim iz opravdanih razloga ponavljali razred u srednjoj školi“. </w:t>
            </w:r>
            <w:r w:rsidR="00B97934" w:rsidRPr="004A237A">
              <w:rPr>
                <w:u w:val="single"/>
              </w:rPr>
              <w:t>Komentar</w:t>
            </w:r>
            <w:r w:rsidR="00B97934" w:rsidRPr="00B97934">
              <w:t>: Koji su to opravdani razlozi i čime se dokazuju? Potrebno je navesti tko utvrđuje tzv. opravdane razloge. Je li to povjerenstvo za dodjelu stipendija? Naime, može biti mnogo razloga, što za neke jesu, a za neke nisu „opravdani“. Stoga je važno ili navesti koji su to opravdani razlozi ili navesti da povjerenstvo za dodjelu stipendija odlučuje koji su to opravdani razlozi. Ako je opravdani razlog bolest, postavlja se pitanje smije li povjerenstvo npr. dobiti na uvid potvrdu da se radilo o bolesti, o kakvoj bolesti, je li dovoljno da liječnik obiteljske medicine izda potvrdu o bolesti, treba li tražiti specijalistički nalaz (problem zaštite osobnih podataka) itd. Sve su to pitanja koja se ponekad mogu otvoriti i stoga je važno jasno definirati ili u odluci, natječaju ili u okviru rada povjerenstva za dodjelu stipendija što bi bili opravdani razlozi i kako se prema njima postaviti.</w:t>
            </w:r>
          </w:p>
        </w:tc>
        <w:tc>
          <w:tcPr>
            <w:tcW w:w="4961" w:type="dxa"/>
            <w:tcBorders>
              <w:right w:val="thinThickSmallGap" w:sz="24" w:space="0" w:color="auto"/>
            </w:tcBorders>
            <w:shd w:val="clear" w:color="auto" w:fill="auto"/>
          </w:tcPr>
          <w:p w:rsidR="00EC2537" w:rsidRPr="00B7755D" w:rsidRDefault="004323B6" w:rsidP="00487368">
            <w:pPr>
              <w:rPr>
                <w:b/>
              </w:rPr>
            </w:pPr>
            <w:r w:rsidRPr="00B7755D">
              <w:rPr>
                <w:b/>
              </w:rPr>
              <w:t>Ne prihvaća se:</w:t>
            </w:r>
            <w:r w:rsidR="00E205A7" w:rsidRPr="00B7755D">
              <w:rPr>
                <w:b/>
              </w:rPr>
              <w:t xml:space="preserve"> </w:t>
            </w:r>
          </w:p>
          <w:p w:rsidR="00DB57D0" w:rsidRPr="00D81824" w:rsidRDefault="00F06D19" w:rsidP="00487368">
            <w:r>
              <w:t>P</w:t>
            </w:r>
            <w:r w:rsidR="00E205A7" w:rsidRPr="00D81824">
              <w:t>rijedlog/primjedba se ne prihvaća obzirom da</w:t>
            </w:r>
            <w:r w:rsidR="00B7755D">
              <w:t>,</w:t>
            </w:r>
            <w:r w:rsidR="00E205A7" w:rsidRPr="00D81824">
              <w:t xml:space="preserve"> osim razloga zdravstvene prirode</w:t>
            </w:r>
            <w:r w:rsidR="00B7755D">
              <w:t>,</w:t>
            </w:r>
            <w:r w:rsidR="00E205A7" w:rsidRPr="00D81824">
              <w:t xml:space="preserve"> mogu postojati i drugi opravdani razlozi radi kojih je učenik po</w:t>
            </w:r>
            <w:r w:rsidR="00B7755D">
              <w:t xml:space="preserve">navljao razred u srednjoj školi, a koje je teško predvidjeti pa samim time i precizirati. </w:t>
            </w:r>
            <w:r w:rsidR="00E205A7" w:rsidRPr="00D81824">
              <w:t xml:space="preserve"> </w:t>
            </w:r>
            <w:r w:rsidR="00B7755D">
              <w:t xml:space="preserve">Također, </w:t>
            </w:r>
            <w:r w:rsidR="00C163AB">
              <w:t>kako</w:t>
            </w:r>
            <w:r w:rsidR="00B7755D">
              <w:t xml:space="preserve"> je O</w:t>
            </w:r>
            <w:r w:rsidR="00E205A7" w:rsidRPr="00D81824">
              <w:t>dluk</w:t>
            </w:r>
            <w:r w:rsidR="00B7755D">
              <w:t>om</w:t>
            </w:r>
            <w:r w:rsidR="00E205A7" w:rsidRPr="00D81824">
              <w:t xml:space="preserve"> </w:t>
            </w:r>
            <w:r w:rsidR="00B7755D">
              <w:t xml:space="preserve"> </w:t>
            </w:r>
            <w:r w:rsidR="00E205A7" w:rsidRPr="00D81824">
              <w:t xml:space="preserve">propisano da Natječaj za dodjelu Stipendije provodi Povjerenstvo za dodjelu Stipendije Grada Zagreba na temelju socio-ekonomskog </w:t>
            </w:r>
            <w:r w:rsidR="00E205A7" w:rsidRPr="00D81824">
              <w:lastRenderedPageBreak/>
              <w:t xml:space="preserve">statusa </w:t>
            </w:r>
            <w:r w:rsidR="00C163AB">
              <w:t>nije</w:t>
            </w:r>
            <w:r w:rsidR="00B7755D">
              <w:t xml:space="preserve"> </w:t>
            </w:r>
            <w:r w:rsidR="00C163AB">
              <w:t xml:space="preserve">potrebno posebno propisivati da Povjerenstvo </w:t>
            </w:r>
            <w:r w:rsidR="00B7755D">
              <w:t xml:space="preserve">utvrđuje </w:t>
            </w:r>
            <w:r w:rsidR="002E0043">
              <w:t>i opravdanost razloga</w:t>
            </w:r>
            <w:r w:rsidR="00C163AB">
              <w:t>.</w:t>
            </w:r>
          </w:p>
          <w:p w:rsidR="00E205A7" w:rsidRDefault="00E205A7" w:rsidP="00487368"/>
        </w:tc>
      </w:tr>
      <w:tr w:rsidR="008F6F4E" w:rsidTr="001A1654">
        <w:trPr>
          <w:trHeight w:val="899"/>
        </w:trPr>
        <w:tc>
          <w:tcPr>
            <w:tcW w:w="529" w:type="dxa"/>
            <w:tcBorders>
              <w:left w:val="thinThickSmallGap" w:sz="24" w:space="0" w:color="auto"/>
            </w:tcBorders>
            <w:shd w:val="clear" w:color="auto" w:fill="auto"/>
          </w:tcPr>
          <w:p w:rsidR="008F6F4E" w:rsidRDefault="008F6F4E" w:rsidP="00487368"/>
        </w:tc>
        <w:tc>
          <w:tcPr>
            <w:tcW w:w="1843" w:type="dxa"/>
            <w:shd w:val="clear" w:color="auto" w:fill="auto"/>
          </w:tcPr>
          <w:p w:rsidR="008F6F4E" w:rsidRDefault="008F6F4E" w:rsidP="00487368"/>
        </w:tc>
        <w:tc>
          <w:tcPr>
            <w:tcW w:w="1701" w:type="dxa"/>
            <w:shd w:val="clear" w:color="auto" w:fill="auto"/>
          </w:tcPr>
          <w:p w:rsidR="00B97934" w:rsidRDefault="00B97934" w:rsidP="00B97934">
            <w:r>
              <w:t>Članak 5. (STUDENTI)</w:t>
            </w:r>
          </w:p>
          <w:p w:rsidR="008F6F4E" w:rsidRDefault="008F6F4E" w:rsidP="009C569A"/>
        </w:tc>
        <w:tc>
          <w:tcPr>
            <w:tcW w:w="5812" w:type="dxa"/>
            <w:shd w:val="clear" w:color="auto" w:fill="auto"/>
          </w:tcPr>
          <w:p w:rsidR="00B97934" w:rsidRDefault="00B97934" w:rsidP="002E5CD1">
            <w:pPr>
              <w:jc w:val="both"/>
            </w:pPr>
            <w:r>
              <w:t>-</w:t>
            </w:r>
            <w:r>
              <w:tab/>
              <w:t>alineja 3. - u kojoj se navodi da se navedeno odnosi samo na studente Sveučilišta u Zagrebu. Kao što je u ranijim komentarima navedeno trebalo bi navesti „sveučilišni i stručni studiji u Gradu Zagrebu“, a ne samo Sveučilište u Zagrebu.</w:t>
            </w:r>
          </w:p>
          <w:p w:rsidR="00F56A62" w:rsidRDefault="00B97934" w:rsidP="002E5CD1">
            <w:pPr>
              <w:jc w:val="both"/>
            </w:pPr>
            <w:r>
              <w:t>-</w:t>
            </w:r>
            <w:r>
              <w:tab/>
              <w:t>alineja 5. – također je potrebno navesti koji bi to bili „opravdani razlozi“ da su   u prethodnoj akademskoj godini ostvarili najmanje 40 ECTS bodova</w:t>
            </w:r>
          </w:p>
        </w:tc>
        <w:tc>
          <w:tcPr>
            <w:tcW w:w="4961" w:type="dxa"/>
            <w:tcBorders>
              <w:right w:val="thinThickSmallGap" w:sz="24" w:space="0" w:color="auto"/>
            </w:tcBorders>
            <w:shd w:val="clear" w:color="auto" w:fill="auto"/>
          </w:tcPr>
          <w:p w:rsidR="00992CFC" w:rsidRDefault="00992CFC" w:rsidP="00992CFC">
            <w:r>
              <w:rPr>
                <w:b/>
              </w:rPr>
              <w:t>Djelomično se prihvaća:</w:t>
            </w:r>
            <w:r>
              <w:t xml:space="preserve"> </w:t>
            </w:r>
          </w:p>
          <w:p w:rsidR="00DB57D0" w:rsidRDefault="00992CFC" w:rsidP="00E205A7">
            <w:r>
              <w:t xml:space="preserve">Primjedba/prijedlog </w:t>
            </w:r>
            <w:r w:rsidR="00E205A7">
              <w:t>na članak 5.</w:t>
            </w:r>
            <w:r w:rsidR="003C3447">
              <w:t xml:space="preserve"> alineju 3. (B-STUDENTI) </w:t>
            </w:r>
            <w:r w:rsidR="00E205A7">
              <w:t xml:space="preserve">se </w:t>
            </w:r>
            <w:r w:rsidR="00EC2537">
              <w:t xml:space="preserve">prihvaća </w:t>
            </w:r>
            <w:r w:rsidR="00E205A7">
              <w:t>te je ist</w:t>
            </w:r>
            <w:r w:rsidR="004A155A">
              <w:t>i</w:t>
            </w:r>
            <w:r>
              <w:t xml:space="preserve"> ugrađen u članak 5. Odluke.</w:t>
            </w:r>
          </w:p>
          <w:p w:rsidR="00DD6AF4" w:rsidRPr="00D81824" w:rsidRDefault="001F2DF4" w:rsidP="00DD6AF4">
            <w:r w:rsidRPr="00D81824">
              <w:t xml:space="preserve">Primjedba/prijedlog na članak 5. alineju 5. </w:t>
            </w:r>
            <w:r w:rsidR="003C3447">
              <w:t xml:space="preserve">(B-STUDENTI) </w:t>
            </w:r>
            <w:r w:rsidRPr="00D81824">
              <w:t>se ne prihvaća</w:t>
            </w:r>
            <w:r w:rsidR="00DD6AF4" w:rsidRPr="00D81824">
              <w:t xml:space="preserve"> jer nije moguće predvidjeti sve nepovoljne životne okolnosti </w:t>
            </w:r>
            <w:r w:rsidR="002E0043">
              <w:t xml:space="preserve">pa  samim time i precizirati opravdane </w:t>
            </w:r>
            <w:r w:rsidR="002E0043">
              <w:lastRenderedPageBreak/>
              <w:t>razloge.</w:t>
            </w:r>
            <w:r w:rsidR="00DD6AF4" w:rsidRPr="00D81824">
              <w:t xml:space="preserve"> Odluk</w:t>
            </w:r>
            <w:r w:rsidR="002E0043">
              <w:t>om je</w:t>
            </w:r>
            <w:r w:rsidR="00DD6AF4" w:rsidRPr="00D81824">
              <w:t xml:space="preserve"> propisano da Natječaj za dodjelu Stipendije provodi Povjerenstvo za dodjelu Stipendije Grada Zagreba na temelju socio-ekonomskog statusa koje će isto procjenjivati.</w:t>
            </w:r>
          </w:p>
          <w:p w:rsidR="00E205A7" w:rsidRDefault="00E205A7" w:rsidP="00E205A7"/>
        </w:tc>
      </w:tr>
      <w:tr w:rsidR="008F6F4E" w:rsidTr="001A1654">
        <w:trPr>
          <w:trHeight w:val="899"/>
        </w:trPr>
        <w:tc>
          <w:tcPr>
            <w:tcW w:w="529" w:type="dxa"/>
            <w:tcBorders>
              <w:left w:val="thinThickSmallGap" w:sz="24" w:space="0" w:color="auto"/>
            </w:tcBorders>
            <w:shd w:val="clear" w:color="auto" w:fill="auto"/>
          </w:tcPr>
          <w:p w:rsidR="008F6F4E" w:rsidRDefault="008F6F4E" w:rsidP="00487368"/>
        </w:tc>
        <w:tc>
          <w:tcPr>
            <w:tcW w:w="1843" w:type="dxa"/>
            <w:shd w:val="clear" w:color="auto" w:fill="auto"/>
          </w:tcPr>
          <w:p w:rsidR="008F6F4E" w:rsidRDefault="008F6F4E" w:rsidP="00487368"/>
        </w:tc>
        <w:tc>
          <w:tcPr>
            <w:tcW w:w="1701" w:type="dxa"/>
            <w:shd w:val="clear" w:color="auto" w:fill="auto"/>
          </w:tcPr>
          <w:p w:rsidR="00B97934" w:rsidRDefault="00B97934" w:rsidP="00B97934">
            <w:r>
              <w:t>Članak 14.</w:t>
            </w:r>
          </w:p>
          <w:p w:rsidR="008F6F4E" w:rsidRDefault="008F6F4E" w:rsidP="009C569A"/>
        </w:tc>
        <w:tc>
          <w:tcPr>
            <w:tcW w:w="5812" w:type="dxa"/>
            <w:shd w:val="clear" w:color="auto" w:fill="auto"/>
          </w:tcPr>
          <w:p w:rsidR="00B97934" w:rsidRDefault="00B97934" w:rsidP="002E5CD1">
            <w:pPr>
              <w:jc w:val="both"/>
            </w:pPr>
            <w:r>
              <w:t xml:space="preserve">– u njemu su navedeni kriteriji za bodovanje socio-ekonomskog statusa učenika i studenata. </w:t>
            </w:r>
          </w:p>
          <w:p w:rsidR="00B97934" w:rsidRDefault="00B97934" w:rsidP="002E5CD1">
            <w:pPr>
              <w:jc w:val="both"/>
            </w:pPr>
            <w:r>
              <w:t>-</w:t>
            </w:r>
            <w:r>
              <w:tab/>
              <w:t>alineja 2. – navodi se kao kriterij za bodovanje sljedeće: za učenika/studenta kojem je jedan roditelj umro, nestao ili nepoznat priznaju se 2 boda. Komentar: Implicira li ovaj kriterij jednoroditeljske obitelji? Ako da, onda je potrebno to navesti, jer učeniku/studentu može jedan roditelj umrijeti, nestati ili biti nepoznat, a roditelj s kojim živi može sklopiti brak s drugim partnerom te taj učenik/student ima poočima ili pomajku. Postavlja se pitanje zbog čega bi u tom slučaju ovako postavljen kriterij bio značajan (osim ako se ne radi o jednoroditeljskoj obitelji), stoga je ovaj kriterij potrebno precizirati.</w:t>
            </w:r>
          </w:p>
          <w:p w:rsidR="00B97934" w:rsidRDefault="00B97934" w:rsidP="002E5CD1">
            <w:pPr>
              <w:jc w:val="both"/>
            </w:pPr>
            <w:r>
              <w:t>-</w:t>
            </w:r>
            <w:r>
              <w:tab/>
              <w:t>alineja 4. – kao kriterij se navodi da su „roditelji korisnici prava na zajamčenu minimalnu naknadu“. Komentar:   Umjesto „roditelji“, treba navesti da učenik/student živi „u kućanstvu koje je korisnik zajamčene minimalne naknade“. Samac ili kućanstvo su prema Zakonu o socijalnoj skrbi kategorije odnosno korisnici zajamčene minimalne naknade. Naime, učenici/studenti ne moraju živjeti s roditeljima već s nekim drugim članom obitelji ili rodbine u kućanstvu koje prima zajamčenu minimalnu naknadu.</w:t>
            </w:r>
          </w:p>
          <w:p w:rsidR="00F56A62" w:rsidRDefault="00B97934" w:rsidP="002E5CD1">
            <w:pPr>
              <w:jc w:val="both"/>
            </w:pPr>
            <w:r>
              <w:t>-</w:t>
            </w:r>
            <w:r>
              <w:tab/>
              <w:t>alineja 5. i alineja 8. – kao kriteriji se navode invaliditet roditelja ili učenika/studenta:  „koji ima jednog roditelja s tjelesnim i osjetilnim oštećenjem od 100% priznaje se 1,5 bod, a za učenika koji ima oba roditelja s tjelesnim i osjetilnim oštećenjem od 100% priznaju se 3 boda“ te „za učenika/studenta s najmanje 60% utvrđenog tjelesnog i osjetilnog oštećenja, sukladno Uredbi o metodologijama vještačenja  priznaju se 2 boda“. Komentar:  Nije jasno zbog čega je invaliditet roditelja ili učenika/studenta kriterij za dodjelu ovakve vrste stipendija. S obzirom da Grad Zagreb dodjeljuje stipendije za učenike i studente s invaliditetom nije potrebno da se ovaj kriterij uvodi za učenike/studente slabijeg socio-ekonomskog statusa.</w:t>
            </w:r>
          </w:p>
          <w:p w:rsidR="00B97934" w:rsidRDefault="00B97934" w:rsidP="002E5CD1">
            <w:pPr>
              <w:jc w:val="both"/>
            </w:pPr>
            <w:r w:rsidRPr="00B97934">
              <w:t xml:space="preserve">Kao dodatni kriterij u Članak 14. je potrebno uvesti </w:t>
            </w:r>
            <w:r w:rsidRPr="004A237A">
              <w:rPr>
                <w:b/>
              </w:rPr>
              <w:t>kriterij jednoroditeljskih obitelj</w:t>
            </w:r>
            <w:r w:rsidRPr="00B97934">
              <w:t xml:space="preserve">i. Poznato je da su jednoroditeljske obitelji u značajno većem riziku od siromaštva u odnosu na dvoroditeljske obitelji ili obitelji s više odraslih članova kućanstva. Podaci Državnog </w:t>
            </w:r>
            <w:r w:rsidRPr="00B97934">
              <w:lastRenderedPageBreak/>
              <w:t>zavoda za statistiku koji na svojim stranicama na godišnjoj razini objavljuje podatke pod nazivom „Pokazatelji siromaštva i socijalne isključenosti“ svake godine potvrđuju da je iznimno visok rizik od siromaštva kod jednoroditeljskih obitelji. Posljednji podaci su objavljeni za 2019. godinu (DZS, 2020.) i prema njima je kod kategorije „Kućanstva s uzdržavanom djecom“ najveći rizik od siromaštva upravo kod jednoroditeljskih obitelji s jedim ili više uzdržavane djece – svaka treća jednoroditeljska obitelj je u riziku od siromaštva, njih 33,8% (</w:t>
            </w:r>
            <w:hyperlink r:id="rId10" w:history="1">
              <w:r w:rsidR="004A237A" w:rsidRPr="00DC6D19">
                <w:rPr>
                  <w:rStyle w:val="Hyperlink"/>
                </w:rPr>
                <w:t>https://www.dzs.hr/Hrv_Eng/publication/2020/14-01-01_01_2020.htm</w:t>
              </w:r>
            </w:hyperlink>
            <w:r w:rsidR="004A237A">
              <w:t xml:space="preserve"> </w:t>
            </w:r>
            <w:r w:rsidRPr="00B97934">
              <w:t>). Stoga je jako važno da jedan od kriterija za ostvarivanje prava na stipendiju na temelju socio-ekonomskog statusa bude i život u  jednoroditeljskoj obitelji te da se boduje s barem 2 boda.</w:t>
            </w:r>
          </w:p>
        </w:tc>
        <w:tc>
          <w:tcPr>
            <w:tcW w:w="4961" w:type="dxa"/>
            <w:tcBorders>
              <w:right w:val="thinThickSmallGap" w:sz="24" w:space="0" w:color="auto"/>
            </w:tcBorders>
            <w:shd w:val="clear" w:color="auto" w:fill="auto"/>
          </w:tcPr>
          <w:p w:rsidR="0034407F" w:rsidRDefault="00CF5E63" w:rsidP="00487368">
            <w:pPr>
              <w:rPr>
                <w:b/>
              </w:rPr>
            </w:pPr>
            <w:r w:rsidRPr="00CF5E63">
              <w:rPr>
                <w:b/>
              </w:rPr>
              <w:lastRenderedPageBreak/>
              <w:t>Djelomično se prihvaća:</w:t>
            </w:r>
          </w:p>
          <w:p w:rsidR="00CF5E63" w:rsidRDefault="00CF5E63" w:rsidP="00CF5E63">
            <w:r w:rsidRPr="00773163">
              <w:t xml:space="preserve">Primjedba/prijedlog </w:t>
            </w:r>
            <w:r w:rsidR="005D56A3" w:rsidRPr="00773163">
              <w:t>koji se odnosi na bodovanje jednoroditel</w:t>
            </w:r>
            <w:r w:rsidR="00EC2537" w:rsidRPr="00773163">
              <w:t>j</w:t>
            </w:r>
            <w:r w:rsidR="005D56A3" w:rsidRPr="00773163">
              <w:t xml:space="preserve">skih obitelji se prihvaća </w:t>
            </w:r>
            <w:r w:rsidRPr="00773163">
              <w:t xml:space="preserve">te </w:t>
            </w:r>
            <w:r w:rsidR="00FA086C" w:rsidRPr="00773163">
              <w:t xml:space="preserve">se </w:t>
            </w:r>
            <w:r w:rsidR="005D56A3" w:rsidRPr="00773163">
              <w:t>uz učenike/studente kojima je jedan roditelj umro, nestao ili nepoznat</w:t>
            </w:r>
            <w:r w:rsidRPr="00773163">
              <w:t xml:space="preserve"> </w:t>
            </w:r>
            <w:r w:rsidR="00EC2537" w:rsidRPr="00773163">
              <w:t xml:space="preserve">dodani </w:t>
            </w:r>
            <w:r w:rsidRPr="00773163">
              <w:t xml:space="preserve">i učenici/studenti </w:t>
            </w:r>
            <w:r w:rsidRPr="00773163">
              <w:lastRenderedPageBreak/>
              <w:t>koji žive u kućanstvu s jednim roditeljem</w:t>
            </w:r>
            <w:r w:rsidR="005D56A3" w:rsidRPr="00773163">
              <w:t xml:space="preserve"> te će se svaka kategorija bodovati istim brojem bodova.</w:t>
            </w:r>
          </w:p>
          <w:p w:rsidR="00CA154E" w:rsidRDefault="00CA154E" w:rsidP="00CF5E63">
            <w:r>
              <w:t xml:space="preserve">Isto </w:t>
            </w:r>
            <w:r w:rsidR="00DF6176">
              <w:t>je</w:t>
            </w:r>
            <w:r>
              <w:t xml:space="preserve"> </w:t>
            </w:r>
            <w:r w:rsidR="00DF6176">
              <w:t xml:space="preserve">ugrađeno </w:t>
            </w:r>
            <w:r>
              <w:t>u član</w:t>
            </w:r>
            <w:r w:rsidR="00DF6176">
              <w:t>ak</w:t>
            </w:r>
            <w:r w:rsidR="001304ED">
              <w:t xml:space="preserve"> 11. </w:t>
            </w:r>
            <w:r>
              <w:t xml:space="preserve">u </w:t>
            </w:r>
            <w:r w:rsidR="00DF6176">
              <w:t>konačnoj</w:t>
            </w:r>
            <w:r>
              <w:t xml:space="preserve"> verziji Odluke. </w:t>
            </w:r>
          </w:p>
          <w:p w:rsidR="00CA154E" w:rsidRPr="00773163" w:rsidRDefault="00CA154E" w:rsidP="00CF5E63"/>
          <w:p w:rsidR="00CF5E63" w:rsidRDefault="00CF5E63" w:rsidP="00CF5E63"/>
          <w:p w:rsidR="006D18F0" w:rsidRDefault="006D18F0" w:rsidP="00CF5E63"/>
          <w:p w:rsidR="006D18F0" w:rsidRDefault="006D18F0" w:rsidP="00CF5E63"/>
          <w:p w:rsidR="00CF5E63" w:rsidRDefault="00CF5E63" w:rsidP="00CF5E63">
            <w:r>
              <w:t xml:space="preserve">Primjedba/prijedlog </w:t>
            </w:r>
            <w:r w:rsidR="00FA086C">
              <w:t xml:space="preserve">na članak 14. alineju 4., </w:t>
            </w:r>
            <w:r w:rsidR="006D5D38">
              <w:t xml:space="preserve">koja se odnosi razradu kriterija zajamčene minimalne naknade </w:t>
            </w:r>
            <w:r>
              <w:t>nije prihvaćena jer je navedeni kriterij  izostavljen iz završn</w:t>
            </w:r>
            <w:r w:rsidR="006D5D38">
              <w:t xml:space="preserve">og sadržaja </w:t>
            </w:r>
            <w:r>
              <w:t>Odluke.</w:t>
            </w:r>
          </w:p>
          <w:p w:rsidR="00CF5E63" w:rsidRDefault="00CF5E63" w:rsidP="00CF5E63"/>
          <w:p w:rsidR="006D18F0" w:rsidRDefault="006D18F0" w:rsidP="00CF5E63"/>
          <w:p w:rsidR="006D18F0" w:rsidRDefault="006D18F0" w:rsidP="00CF5E63"/>
          <w:p w:rsidR="006D18F0" w:rsidRDefault="006D18F0" w:rsidP="00CF5E63"/>
          <w:p w:rsidR="006D18F0" w:rsidRDefault="006D18F0" w:rsidP="00CF5E63"/>
          <w:p w:rsidR="006D18F0" w:rsidRDefault="006D18F0" w:rsidP="00CF5E63"/>
          <w:p w:rsidR="006D18F0" w:rsidRDefault="006D18F0" w:rsidP="00CF5E63"/>
          <w:p w:rsidR="00CF5E63" w:rsidRDefault="00CF5E63" w:rsidP="00CF5E63">
            <w:r>
              <w:lastRenderedPageBreak/>
              <w:t xml:space="preserve">Primjedba/prijedlog na članak 14. alineju 5. </w:t>
            </w:r>
            <w:r w:rsidR="006D5D38">
              <w:t xml:space="preserve">se prihvaća </w:t>
            </w:r>
            <w:r>
              <w:t xml:space="preserve"> </w:t>
            </w:r>
            <w:r w:rsidR="006D5D38">
              <w:t>te je</w:t>
            </w:r>
            <w:r>
              <w:t xml:space="preserve"> kriterij </w:t>
            </w:r>
            <w:r w:rsidR="006D5D38">
              <w:t>bodovanja invaliditeta roditelja</w:t>
            </w:r>
            <w:r>
              <w:t xml:space="preserve"> izostavljen iz završn</w:t>
            </w:r>
            <w:r w:rsidR="006D5D38">
              <w:t>og</w:t>
            </w:r>
            <w:r>
              <w:t xml:space="preserve"> </w:t>
            </w:r>
            <w:r w:rsidR="006D5D38">
              <w:t xml:space="preserve">sadržaja </w:t>
            </w:r>
            <w:r>
              <w:t xml:space="preserve">Odluke. </w:t>
            </w:r>
          </w:p>
          <w:p w:rsidR="00CF5E63" w:rsidRDefault="00CF5E63" w:rsidP="00CF5E63"/>
          <w:p w:rsidR="00CF5E63" w:rsidRDefault="00CF5E63" w:rsidP="00CF5E63">
            <w:r>
              <w:t xml:space="preserve">Primjedba/prijedlog na članak 14. alineju 8. </w:t>
            </w:r>
            <w:r w:rsidR="006D5D38">
              <w:t>se prihvaća te</w:t>
            </w:r>
            <w:r>
              <w:t xml:space="preserve"> je kriterij  </w:t>
            </w:r>
            <w:r w:rsidR="006D5D38">
              <w:t xml:space="preserve">bodovanja invaliditeta učenika/studenta </w:t>
            </w:r>
            <w:r>
              <w:t>izostavljen iz završn</w:t>
            </w:r>
            <w:r w:rsidR="00F5673E">
              <w:t>og  sadržaja</w:t>
            </w:r>
            <w:r>
              <w:t xml:space="preserve"> Odluke.</w:t>
            </w:r>
          </w:p>
          <w:p w:rsidR="00CF5E63" w:rsidRDefault="00CF5E63" w:rsidP="00CF5E63"/>
          <w:p w:rsidR="00CF5E63" w:rsidRDefault="00CF5E63" w:rsidP="00CF5E63"/>
          <w:p w:rsidR="00CF5E63" w:rsidRPr="00CF5E63" w:rsidRDefault="00CF5E63" w:rsidP="00CF5E63">
            <w:r>
              <w:t xml:space="preserve"> </w:t>
            </w:r>
          </w:p>
        </w:tc>
      </w:tr>
      <w:tr w:rsidR="008F6F4E" w:rsidTr="001A1654">
        <w:trPr>
          <w:trHeight w:val="899"/>
        </w:trPr>
        <w:tc>
          <w:tcPr>
            <w:tcW w:w="529" w:type="dxa"/>
            <w:tcBorders>
              <w:left w:val="thinThickSmallGap" w:sz="24" w:space="0" w:color="auto"/>
            </w:tcBorders>
            <w:shd w:val="clear" w:color="auto" w:fill="auto"/>
          </w:tcPr>
          <w:p w:rsidR="008F6F4E" w:rsidRDefault="008F6F4E" w:rsidP="00487368"/>
        </w:tc>
        <w:tc>
          <w:tcPr>
            <w:tcW w:w="1843" w:type="dxa"/>
            <w:shd w:val="clear" w:color="auto" w:fill="auto"/>
          </w:tcPr>
          <w:p w:rsidR="008F6F4E" w:rsidRDefault="008F6F4E" w:rsidP="00487368"/>
        </w:tc>
        <w:tc>
          <w:tcPr>
            <w:tcW w:w="1701" w:type="dxa"/>
            <w:shd w:val="clear" w:color="auto" w:fill="auto"/>
          </w:tcPr>
          <w:p w:rsidR="008F6F4E" w:rsidRDefault="00B97934" w:rsidP="00B97934">
            <w:r>
              <w:t>Članak 23.</w:t>
            </w:r>
          </w:p>
        </w:tc>
        <w:tc>
          <w:tcPr>
            <w:tcW w:w="5812" w:type="dxa"/>
            <w:shd w:val="clear" w:color="auto" w:fill="auto"/>
          </w:tcPr>
          <w:p w:rsidR="00B97934" w:rsidRDefault="00B97934" w:rsidP="002E5CD1">
            <w:pPr>
              <w:jc w:val="both"/>
            </w:pPr>
            <w:r>
              <w:t xml:space="preserve">U ovom se članku navodi da „korisnici Stipendije obvezni su zaposliti se i raditi na području Grada Zagreba najmanje onoliko vremena koliko su primali Stipendiju ili volontirati na području Grada Zagreba u opsegu i trajanju kojeg će odrediti nadležno gradsko upravno tijelo“.   </w:t>
            </w:r>
          </w:p>
          <w:p w:rsidR="00F56A62" w:rsidRDefault="00B97934" w:rsidP="002E5CD1">
            <w:pPr>
              <w:jc w:val="both"/>
            </w:pPr>
            <w:r w:rsidRPr="004A237A">
              <w:rPr>
                <w:u w:val="single"/>
              </w:rPr>
              <w:t>Komentar</w:t>
            </w:r>
            <w:r>
              <w:t xml:space="preserve">: Volontiranje za studente slabijeg socio-ekonomskog statusa ne bi trebao biti uvjet za ostvarenje prava na stipendiju obzirom na upravo njihovu iznimno tešku materijalnu situaciju. Ovakvo uvjetovanje će smanjiti interes tih studenata za prijavu na stipendije. Naime, što ako se stipendist nakon završetka studija ima priliku zaposliti se u nekoj drugoj županiji jer se tamo otvorilo radno mjesto?  Smatram da obvezivanje stipendista slabijeg ekonomskog statusa na način da se mora zaposliti u Gradu Zagrebu ili da treba volontirati na području Grada Zagreba nije mjera koja bi bila poticajna i opravdana za one koji žive u siromaštvu. Iako se kasnije u istom članku navodi </w:t>
            </w:r>
            <w:r>
              <w:lastRenderedPageBreak/>
              <w:t>da se može prihvatiti zaposlenje izvan Grada Zagreba i da iz opravdanih (kojih?) razloga može biti oslobođen obveze volontiranja uz suglasnost davatelja Stipendije, ovaj članak 23. bi trebalo izostaviti (brisati) kada je riječ o mladima lošeg socio-ekonomskog statusa. Upravo zato što je njima u interesu da se što prije zaposle i izađu iz kruga siromaštva.</w:t>
            </w:r>
          </w:p>
        </w:tc>
        <w:tc>
          <w:tcPr>
            <w:tcW w:w="4961" w:type="dxa"/>
            <w:tcBorders>
              <w:right w:val="thinThickSmallGap" w:sz="24" w:space="0" w:color="auto"/>
            </w:tcBorders>
            <w:shd w:val="clear" w:color="auto" w:fill="auto"/>
          </w:tcPr>
          <w:p w:rsidR="006953DB" w:rsidRPr="00000D2E" w:rsidRDefault="006953DB" w:rsidP="006953DB">
            <w:pPr>
              <w:rPr>
                <w:b/>
              </w:rPr>
            </w:pPr>
            <w:r w:rsidRPr="00000D2E">
              <w:rPr>
                <w:b/>
              </w:rPr>
              <w:lastRenderedPageBreak/>
              <w:t>Djelomično se prihvaća:</w:t>
            </w:r>
          </w:p>
          <w:p w:rsidR="006953DB" w:rsidRDefault="006953DB" w:rsidP="006953DB">
            <w:r>
              <w:t xml:space="preserve">Primjedba/prijedlog koji se odnosi na volontiranje se prihvaća te </w:t>
            </w:r>
            <w:r w:rsidR="00000D2E">
              <w:t>je</w:t>
            </w:r>
            <w:r>
              <w:t xml:space="preserve"> </w:t>
            </w:r>
            <w:r>
              <w:lastRenderedPageBreak/>
              <w:t>obveza volontiranja izostavljen</w:t>
            </w:r>
            <w:r w:rsidR="00000D2E">
              <w:t>a</w:t>
            </w:r>
            <w:r>
              <w:t xml:space="preserve"> iz </w:t>
            </w:r>
            <w:r w:rsidR="00F5673E">
              <w:t>završnog sadržaja</w:t>
            </w:r>
            <w:r>
              <w:t xml:space="preserve"> Odluke.</w:t>
            </w:r>
          </w:p>
          <w:p w:rsidR="00FA086C" w:rsidRDefault="00FA086C" w:rsidP="006953DB"/>
          <w:p w:rsidR="006953DB" w:rsidRDefault="006953DB" w:rsidP="006953DB">
            <w:r>
              <w:t>Primjedba koja se odnosi na zaposlenje stipendista na području Grada Zagreba se ne prihvaća obzirom da  je navedenim člankom regulirano da korisnik stipendije može, uz suglasnost davatelja Stipendije, prihvatiti i zaposlenje izvan Grada Zagreba, na području Republike Hrvatske.</w:t>
            </w:r>
          </w:p>
          <w:p w:rsidR="0055305A" w:rsidRDefault="0055305A" w:rsidP="0055305A"/>
        </w:tc>
      </w:tr>
      <w:tr w:rsidR="00487368" w:rsidTr="001A1654">
        <w:trPr>
          <w:trHeight w:val="899"/>
        </w:trPr>
        <w:tc>
          <w:tcPr>
            <w:tcW w:w="529" w:type="dxa"/>
            <w:tcBorders>
              <w:left w:val="thinThickSmallGap" w:sz="24" w:space="0" w:color="auto"/>
            </w:tcBorders>
            <w:shd w:val="clear" w:color="auto" w:fill="auto"/>
          </w:tcPr>
          <w:p w:rsidR="00487368" w:rsidRDefault="00487368" w:rsidP="00487368"/>
        </w:tc>
        <w:tc>
          <w:tcPr>
            <w:tcW w:w="1843" w:type="dxa"/>
            <w:shd w:val="clear" w:color="auto" w:fill="auto"/>
          </w:tcPr>
          <w:p w:rsidR="00487368" w:rsidRDefault="00487368" w:rsidP="00487368"/>
        </w:tc>
        <w:tc>
          <w:tcPr>
            <w:tcW w:w="1701" w:type="dxa"/>
            <w:shd w:val="clear" w:color="auto" w:fill="auto"/>
          </w:tcPr>
          <w:p w:rsidR="00487368" w:rsidRDefault="00B97934" w:rsidP="00487368">
            <w:r>
              <w:t xml:space="preserve">Članak 24. </w:t>
            </w:r>
            <w:r>
              <w:lastRenderedPageBreak/>
              <w:t>alineja 3.</w:t>
            </w:r>
          </w:p>
        </w:tc>
        <w:tc>
          <w:tcPr>
            <w:tcW w:w="5812" w:type="dxa"/>
            <w:shd w:val="clear" w:color="auto" w:fill="auto"/>
          </w:tcPr>
          <w:p w:rsidR="00F56A62" w:rsidRDefault="00B97934" w:rsidP="002E5CD1">
            <w:pPr>
              <w:jc w:val="both"/>
            </w:pPr>
            <w:r w:rsidRPr="00B97934">
              <w:lastRenderedPageBreak/>
              <w:t xml:space="preserve">alineja 3. – potrebno je navesti koji su to „neopravdani razlozi“ zbog kojih učenik/student nije ostvario propisane rezultate te je dužan vratiti stipendiju. Nenavođenje neopravdanih razloga može dovesti do </w:t>
            </w:r>
            <w:r w:rsidRPr="00B97934">
              <w:lastRenderedPageBreak/>
              <w:t>neujednačenog tumačenja i postupanja te žalbi učenika/studenata ako nije jasno navedeno na što se to odnosi.</w:t>
            </w:r>
          </w:p>
        </w:tc>
        <w:tc>
          <w:tcPr>
            <w:tcW w:w="4961" w:type="dxa"/>
            <w:tcBorders>
              <w:right w:val="thinThickSmallGap" w:sz="24" w:space="0" w:color="auto"/>
            </w:tcBorders>
            <w:shd w:val="clear" w:color="auto" w:fill="auto"/>
          </w:tcPr>
          <w:p w:rsidR="0005003D" w:rsidRPr="00AF5EC2" w:rsidRDefault="005A0AA8" w:rsidP="00714108">
            <w:pPr>
              <w:rPr>
                <w:b/>
              </w:rPr>
            </w:pPr>
            <w:r w:rsidRPr="00AF5EC2">
              <w:rPr>
                <w:b/>
              </w:rPr>
              <w:lastRenderedPageBreak/>
              <w:t>Ne prihvaća se:</w:t>
            </w:r>
          </w:p>
          <w:p w:rsidR="00F36DBD" w:rsidRDefault="00F36DBD" w:rsidP="00AF5EC2">
            <w:r w:rsidRPr="00F5673E">
              <w:lastRenderedPageBreak/>
              <w:t>Primjedba/prijedlog se ne prihvaća obzirom da je nemoguće predvidjeti razloge koj</w:t>
            </w:r>
            <w:r w:rsidR="00AF5EC2">
              <w:t>i</w:t>
            </w:r>
            <w:r w:rsidRPr="00F5673E">
              <w:t xml:space="preserve"> mogu dovesti do toga da učenik/student ne ispuni propisane </w:t>
            </w:r>
            <w:r w:rsidR="00AF5EC2">
              <w:t>obveze pa ih samim time nije moguće točno definirati.</w:t>
            </w:r>
          </w:p>
          <w:p w:rsidR="00665F3E" w:rsidRDefault="00665F3E" w:rsidP="00AF5EC2"/>
        </w:tc>
      </w:tr>
    </w:tbl>
    <w:p w:rsidR="0021407F" w:rsidRDefault="0021407F" w:rsidP="0019746E"/>
    <w:sectPr w:rsidR="0021407F" w:rsidSect="00A95FA0">
      <w:footerReference w:type="default" r:id="rId11"/>
      <w:pgSz w:w="16838" w:h="11906" w:orient="landscape"/>
      <w:pgMar w:top="851" w:right="1079" w:bottom="709" w:left="1417" w:header="708" w:footer="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E29" w:rsidRDefault="00FE5E29" w:rsidP="00A95FA0">
      <w:r>
        <w:separator/>
      </w:r>
    </w:p>
  </w:endnote>
  <w:endnote w:type="continuationSeparator" w:id="0">
    <w:p w:rsidR="00FE5E29" w:rsidRDefault="00FE5E29" w:rsidP="00A9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103350"/>
      <w:docPartObj>
        <w:docPartGallery w:val="Page Numbers (Bottom of Page)"/>
        <w:docPartUnique/>
      </w:docPartObj>
    </w:sdtPr>
    <w:sdtEndPr>
      <w:rPr>
        <w:noProof/>
      </w:rPr>
    </w:sdtEndPr>
    <w:sdtContent>
      <w:p w:rsidR="000208E2" w:rsidRDefault="000208E2">
        <w:pPr>
          <w:pStyle w:val="Footer"/>
          <w:jc w:val="right"/>
        </w:pPr>
        <w:r>
          <w:fldChar w:fldCharType="begin"/>
        </w:r>
        <w:r>
          <w:instrText xml:space="preserve"> PAGE   \* MERGEFORMAT </w:instrText>
        </w:r>
        <w:r>
          <w:fldChar w:fldCharType="separate"/>
        </w:r>
        <w:r w:rsidR="00EE092A">
          <w:rPr>
            <w:noProof/>
          </w:rPr>
          <w:t>12</w:t>
        </w:r>
        <w:r>
          <w:rPr>
            <w:noProof/>
          </w:rPr>
          <w:fldChar w:fldCharType="end"/>
        </w:r>
      </w:p>
    </w:sdtContent>
  </w:sdt>
  <w:p w:rsidR="000208E2" w:rsidRDefault="000208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E29" w:rsidRDefault="00FE5E29" w:rsidP="00A95FA0">
      <w:r>
        <w:separator/>
      </w:r>
    </w:p>
  </w:footnote>
  <w:footnote w:type="continuationSeparator" w:id="0">
    <w:p w:rsidR="00FE5E29" w:rsidRDefault="00FE5E29" w:rsidP="00A95FA0">
      <w:r>
        <w:continuationSeparator/>
      </w:r>
    </w:p>
  </w:footnote>
  <w:footnote w:id="1">
    <w:p w:rsidR="00957901" w:rsidRDefault="00957901">
      <w:pPr>
        <w:pStyle w:val="FootnoteText"/>
      </w:pPr>
      <w:r>
        <w:rPr>
          <w:rStyle w:val="FootnoteReference"/>
        </w:rPr>
        <w:footnoteRef/>
      </w:r>
      <w:r>
        <w:t xml:space="preserve"> </w:t>
      </w:r>
      <w:r w:rsidRPr="00957901">
        <w:t xml:space="preserve">U svom istraživanju, Centar za mirovne studije na uzorku od 4678 osoba zabilježeno je 88 osoba romske populacije koje nemaju hrvatsko državljanstvo. Iako ovi podaci se referiraju i na područje izvan grada Zagreba, potrebno je proširiti nacrt prijedloga odluke i na djecu koja se nalaze unutar ovih brojki i koja su u riziku od isključenosti. Cijelo istraživanje dostupno je ovdje: </w:t>
      </w:r>
      <w:hyperlink r:id="rId1" w:history="1">
        <w:r w:rsidRPr="00DC6D19">
          <w:rPr>
            <w:rStyle w:val="Hyperlink"/>
          </w:rPr>
          <w:t>https://pravamanjina.gov.hr/UserDocsImages/dokumenti/Uklju%C4%8Divanje%20Roma%20u%20hrvatsko%20dru%C5%A1tvo%20-%20istra%C5%BEivanje%20baznih%20podataka.pdf</w:t>
        </w:r>
      </w:hyperlink>
      <w:r>
        <w:t xml:space="preserve"> </w:t>
      </w:r>
    </w:p>
  </w:footnote>
  <w:footnote w:id="2">
    <w:p w:rsidR="00957901" w:rsidRPr="00957901" w:rsidRDefault="00957901" w:rsidP="00957901">
      <w:pPr>
        <w:pStyle w:val="FootnoteText"/>
      </w:pPr>
      <w:r>
        <w:rPr>
          <w:rStyle w:val="FootnoteReference"/>
        </w:rPr>
        <w:footnoteRef/>
      </w:r>
      <w:r>
        <w:t xml:space="preserve"> </w:t>
      </w:r>
      <w:r w:rsidRPr="00957901">
        <w:t xml:space="preserve">U svom posljednjem tematskom izvještaju, Centar za mirovne studije pobliže opisuje izazove s kojima su se djeca tražitelji azila i djeca izbjeglice susrele tijekom ''škole na daljinu''. Nemogućnost praćenja nastave za djecu nije značilo samo stagnaciju, već se i njihovo znanje hrvatskog jezika smanjilo s obzirom da nisu mogli pohađati dodatnu nastavu, kao i uživati direktnu podršku od svojih učitelja. Djeca nisu bila u mogućnosti pratiti jer nisu imala tablete i računala, a posebno je izazovno bilo za obitelji koje imaju više djece koje pohađaju školu. Iako je ova problematika trebala biti riješena od nadležnog ministarstva, dodjeljivanjem stipendija djeci tražitelja azila i djeci izbjeglicama omogućilo bi se da zaista i u praksi imaju pristup obrazovanju i imaju veću priliku uživati svoje pravo na obrazovanje. Cijeli tematski izvještaj možete pronaći ovdje: </w:t>
      </w:r>
      <w:hyperlink r:id="rId2" w:history="1">
        <w:r w:rsidRPr="00DC6D19">
          <w:rPr>
            <w:rStyle w:val="Hyperlink"/>
          </w:rPr>
          <w:t>https://www.cms.hr/hr/publikacije/obrazovanje-djece-trazitelja-azila-ne-spremnost-na-kvalitetno-ukljucivanje-u-obrazovni-sustav</w:t>
        </w:r>
      </w:hyperlink>
      <w:r>
        <w:t xml:space="preserve"> </w:t>
      </w:r>
    </w:p>
  </w:footnote>
  <w:footnote w:id="3">
    <w:p w:rsidR="00D32B51" w:rsidRPr="00D32B51" w:rsidRDefault="00D32B51" w:rsidP="00D32B51">
      <w:pPr>
        <w:pStyle w:val="FootnoteText"/>
      </w:pPr>
      <w:r>
        <w:rPr>
          <w:rStyle w:val="FootnoteReference"/>
        </w:rPr>
        <w:footnoteRef/>
      </w:r>
      <w:r>
        <w:t xml:space="preserve"> </w:t>
      </w:r>
      <w:r w:rsidRPr="00D32B51">
        <w:t>Više o IRCiS projektu možete pronaći ovdje: http://psihologija.ffzg.unizg.hr/projekti/ircis/projektu-medijima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9C7"/>
    <w:multiLevelType w:val="multilevel"/>
    <w:tmpl w:val="7FFA2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3F3195"/>
    <w:multiLevelType w:val="hybridMultilevel"/>
    <w:tmpl w:val="E9668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A7F3067"/>
    <w:multiLevelType w:val="hybridMultilevel"/>
    <w:tmpl w:val="654207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25B3D48"/>
    <w:multiLevelType w:val="hybridMultilevel"/>
    <w:tmpl w:val="0994E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654065"/>
    <w:multiLevelType w:val="hybridMultilevel"/>
    <w:tmpl w:val="358CB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136129"/>
    <w:multiLevelType w:val="hybridMultilevel"/>
    <w:tmpl w:val="D762562A"/>
    <w:lvl w:ilvl="0" w:tplc="653E8A8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3A046A4"/>
    <w:multiLevelType w:val="hybridMultilevel"/>
    <w:tmpl w:val="9E36E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11F129C"/>
    <w:multiLevelType w:val="multilevel"/>
    <w:tmpl w:val="278A2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9661493"/>
    <w:multiLevelType w:val="hybridMultilevel"/>
    <w:tmpl w:val="9AC4F1C4"/>
    <w:lvl w:ilvl="0" w:tplc="DF5457E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68"/>
    <w:rsid w:val="00000D2E"/>
    <w:rsid w:val="00000F9A"/>
    <w:rsid w:val="000208E2"/>
    <w:rsid w:val="00033446"/>
    <w:rsid w:val="0003485F"/>
    <w:rsid w:val="0005003D"/>
    <w:rsid w:val="00055182"/>
    <w:rsid w:val="0007251E"/>
    <w:rsid w:val="0007569C"/>
    <w:rsid w:val="000824F0"/>
    <w:rsid w:val="000A5B4E"/>
    <w:rsid w:val="000A7EF4"/>
    <w:rsid w:val="000B52A1"/>
    <w:rsid w:val="000C05DD"/>
    <w:rsid w:val="000D5AF8"/>
    <w:rsid w:val="000D7076"/>
    <w:rsid w:val="001110A7"/>
    <w:rsid w:val="00117D78"/>
    <w:rsid w:val="001304ED"/>
    <w:rsid w:val="00174942"/>
    <w:rsid w:val="0019243A"/>
    <w:rsid w:val="00192A47"/>
    <w:rsid w:val="0019746E"/>
    <w:rsid w:val="001A1654"/>
    <w:rsid w:val="001B5D71"/>
    <w:rsid w:val="001B5F0D"/>
    <w:rsid w:val="001C033D"/>
    <w:rsid w:val="001D20E3"/>
    <w:rsid w:val="001D645B"/>
    <w:rsid w:val="001E55F9"/>
    <w:rsid w:val="001F2DF4"/>
    <w:rsid w:val="001F3156"/>
    <w:rsid w:val="0021407F"/>
    <w:rsid w:val="0022780D"/>
    <w:rsid w:val="00231974"/>
    <w:rsid w:val="00274ADC"/>
    <w:rsid w:val="00277290"/>
    <w:rsid w:val="002B0981"/>
    <w:rsid w:val="002B6DF0"/>
    <w:rsid w:val="002E0043"/>
    <w:rsid w:val="002E5CD1"/>
    <w:rsid w:val="00313306"/>
    <w:rsid w:val="00326093"/>
    <w:rsid w:val="00336147"/>
    <w:rsid w:val="003363F7"/>
    <w:rsid w:val="0034407F"/>
    <w:rsid w:val="0035162F"/>
    <w:rsid w:val="00356623"/>
    <w:rsid w:val="00362C40"/>
    <w:rsid w:val="00382397"/>
    <w:rsid w:val="003C3447"/>
    <w:rsid w:val="003F254E"/>
    <w:rsid w:val="00404DA7"/>
    <w:rsid w:val="00423E43"/>
    <w:rsid w:val="00426474"/>
    <w:rsid w:val="004308C2"/>
    <w:rsid w:val="0043211B"/>
    <w:rsid w:val="004323B6"/>
    <w:rsid w:val="00441497"/>
    <w:rsid w:val="00485374"/>
    <w:rsid w:val="00487368"/>
    <w:rsid w:val="004A155A"/>
    <w:rsid w:val="004A237A"/>
    <w:rsid w:val="004B7CC2"/>
    <w:rsid w:val="004C0822"/>
    <w:rsid w:val="004C7171"/>
    <w:rsid w:val="004E07BA"/>
    <w:rsid w:val="005001CD"/>
    <w:rsid w:val="0050098D"/>
    <w:rsid w:val="00512C05"/>
    <w:rsid w:val="00516A50"/>
    <w:rsid w:val="00545E3B"/>
    <w:rsid w:val="0055305A"/>
    <w:rsid w:val="00574B35"/>
    <w:rsid w:val="005A0AA8"/>
    <w:rsid w:val="005A4DF0"/>
    <w:rsid w:val="005B4344"/>
    <w:rsid w:val="005D56A3"/>
    <w:rsid w:val="005E38CB"/>
    <w:rsid w:val="0060050D"/>
    <w:rsid w:val="00607107"/>
    <w:rsid w:val="00611EA1"/>
    <w:rsid w:val="00654C29"/>
    <w:rsid w:val="006570EB"/>
    <w:rsid w:val="006600E8"/>
    <w:rsid w:val="00665F3E"/>
    <w:rsid w:val="00683052"/>
    <w:rsid w:val="00684E2C"/>
    <w:rsid w:val="00686A12"/>
    <w:rsid w:val="006953DB"/>
    <w:rsid w:val="006970C1"/>
    <w:rsid w:val="006D18F0"/>
    <w:rsid w:val="006D5D38"/>
    <w:rsid w:val="006F11E7"/>
    <w:rsid w:val="00706885"/>
    <w:rsid w:val="00713078"/>
    <w:rsid w:val="00714108"/>
    <w:rsid w:val="00730268"/>
    <w:rsid w:val="00764F04"/>
    <w:rsid w:val="00773163"/>
    <w:rsid w:val="00776E40"/>
    <w:rsid w:val="00780AD7"/>
    <w:rsid w:val="007A2F95"/>
    <w:rsid w:val="007B01D9"/>
    <w:rsid w:val="007B459C"/>
    <w:rsid w:val="007D523E"/>
    <w:rsid w:val="007E4914"/>
    <w:rsid w:val="00866B19"/>
    <w:rsid w:val="00874F06"/>
    <w:rsid w:val="008836FC"/>
    <w:rsid w:val="008B4245"/>
    <w:rsid w:val="008C1307"/>
    <w:rsid w:val="008D350C"/>
    <w:rsid w:val="008E3ECF"/>
    <w:rsid w:val="008F2057"/>
    <w:rsid w:val="008F5B83"/>
    <w:rsid w:val="008F6F4E"/>
    <w:rsid w:val="00942C55"/>
    <w:rsid w:val="00957901"/>
    <w:rsid w:val="00964E80"/>
    <w:rsid w:val="00983BB4"/>
    <w:rsid w:val="00992CFC"/>
    <w:rsid w:val="009A5822"/>
    <w:rsid w:val="009B1125"/>
    <w:rsid w:val="009B59D7"/>
    <w:rsid w:val="009B6CE1"/>
    <w:rsid w:val="009C569A"/>
    <w:rsid w:val="009D6076"/>
    <w:rsid w:val="009F0C74"/>
    <w:rsid w:val="00A00A4E"/>
    <w:rsid w:val="00A653EA"/>
    <w:rsid w:val="00A74C37"/>
    <w:rsid w:val="00A95FA0"/>
    <w:rsid w:val="00AA08F7"/>
    <w:rsid w:val="00AB3A5B"/>
    <w:rsid w:val="00AE41B0"/>
    <w:rsid w:val="00AF2F5C"/>
    <w:rsid w:val="00AF5EC2"/>
    <w:rsid w:val="00AF65B2"/>
    <w:rsid w:val="00B017A8"/>
    <w:rsid w:val="00B156A2"/>
    <w:rsid w:val="00B24F50"/>
    <w:rsid w:val="00B25E46"/>
    <w:rsid w:val="00B34702"/>
    <w:rsid w:val="00B65D6C"/>
    <w:rsid w:val="00B67A33"/>
    <w:rsid w:val="00B75DCC"/>
    <w:rsid w:val="00B75ED3"/>
    <w:rsid w:val="00B7755D"/>
    <w:rsid w:val="00B801C5"/>
    <w:rsid w:val="00B97934"/>
    <w:rsid w:val="00BB5EA0"/>
    <w:rsid w:val="00BC34A1"/>
    <w:rsid w:val="00BF0320"/>
    <w:rsid w:val="00C12938"/>
    <w:rsid w:val="00C163AB"/>
    <w:rsid w:val="00C176A4"/>
    <w:rsid w:val="00C54EB3"/>
    <w:rsid w:val="00C76EE1"/>
    <w:rsid w:val="00C82EC3"/>
    <w:rsid w:val="00CA154E"/>
    <w:rsid w:val="00CC4A01"/>
    <w:rsid w:val="00CE7006"/>
    <w:rsid w:val="00CE757E"/>
    <w:rsid w:val="00CF5E63"/>
    <w:rsid w:val="00D303E2"/>
    <w:rsid w:val="00D32B51"/>
    <w:rsid w:val="00D346B5"/>
    <w:rsid w:val="00D36A6C"/>
    <w:rsid w:val="00D46F12"/>
    <w:rsid w:val="00D655F1"/>
    <w:rsid w:val="00D81824"/>
    <w:rsid w:val="00D9445A"/>
    <w:rsid w:val="00DB57D0"/>
    <w:rsid w:val="00DD04DD"/>
    <w:rsid w:val="00DD6AF4"/>
    <w:rsid w:val="00DE1EF7"/>
    <w:rsid w:val="00DF0736"/>
    <w:rsid w:val="00DF36C3"/>
    <w:rsid w:val="00DF6176"/>
    <w:rsid w:val="00E00812"/>
    <w:rsid w:val="00E009E5"/>
    <w:rsid w:val="00E1021F"/>
    <w:rsid w:val="00E1491C"/>
    <w:rsid w:val="00E205A7"/>
    <w:rsid w:val="00E22BFC"/>
    <w:rsid w:val="00EA5712"/>
    <w:rsid w:val="00EB0B02"/>
    <w:rsid w:val="00EB64A1"/>
    <w:rsid w:val="00EC2537"/>
    <w:rsid w:val="00EC46DF"/>
    <w:rsid w:val="00ED0F76"/>
    <w:rsid w:val="00ED6983"/>
    <w:rsid w:val="00EE092A"/>
    <w:rsid w:val="00EE1017"/>
    <w:rsid w:val="00F06D19"/>
    <w:rsid w:val="00F2635F"/>
    <w:rsid w:val="00F36DBD"/>
    <w:rsid w:val="00F3799C"/>
    <w:rsid w:val="00F451A0"/>
    <w:rsid w:val="00F5673E"/>
    <w:rsid w:val="00F56A62"/>
    <w:rsid w:val="00F6135B"/>
    <w:rsid w:val="00F73BB4"/>
    <w:rsid w:val="00F7663F"/>
    <w:rsid w:val="00FA086C"/>
    <w:rsid w:val="00FC47F8"/>
    <w:rsid w:val="00FE5E29"/>
    <w:rsid w:val="00FE6DD5"/>
    <w:rsid w:val="00FF548F"/>
    <w:rsid w:val="00FF782B"/>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497CE5D-263C-406C-9AB4-90A54067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6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6A6C"/>
    <w:pPr>
      <w:autoSpaceDE w:val="0"/>
      <w:autoSpaceDN w:val="0"/>
      <w:adjustRightInd w:val="0"/>
    </w:pPr>
    <w:rPr>
      <w:color w:val="000000"/>
      <w:sz w:val="24"/>
      <w:szCs w:val="24"/>
    </w:rPr>
  </w:style>
  <w:style w:type="paragraph" w:customStyle="1" w:styleId="Standard">
    <w:name w:val="Standard"/>
    <w:rsid w:val="008F6F4E"/>
    <w:pPr>
      <w:suppressAutoHyphens/>
      <w:autoSpaceDN w:val="0"/>
    </w:pPr>
    <w:rPr>
      <w:sz w:val="24"/>
      <w:szCs w:val="24"/>
    </w:rPr>
  </w:style>
  <w:style w:type="paragraph" w:styleId="Header">
    <w:name w:val="header"/>
    <w:basedOn w:val="Normal"/>
    <w:link w:val="HeaderChar"/>
    <w:rsid w:val="00A95FA0"/>
    <w:pPr>
      <w:tabs>
        <w:tab w:val="center" w:pos="4536"/>
        <w:tab w:val="right" w:pos="9072"/>
      </w:tabs>
    </w:pPr>
  </w:style>
  <w:style w:type="character" w:customStyle="1" w:styleId="HeaderChar">
    <w:name w:val="Header Char"/>
    <w:basedOn w:val="DefaultParagraphFont"/>
    <w:link w:val="Header"/>
    <w:rsid w:val="00A95FA0"/>
    <w:rPr>
      <w:sz w:val="24"/>
      <w:szCs w:val="24"/>
    </w:rPr>
  </w:style>
  <w:style w:type="paragraph" w:styleId="Footer">
    <w:name w:val="footer"/>
    <w:basedOn w:val="Normal"/>
    <w:link w:val="FooterChar"/>
    <w:uiPriority w:val="99"/>
    <w:rsid w:val="00A95FA0"/>
    <w:pPr>
      <w:tabs>
        <w:tab w:val="center" w:pos="4536"/>
        <w:tab w:val="right" w:pos="9072"/>
      </w:tabs>
    </w:pPr>
  </w:style>
  <w:style w:type="character" w:customStyle="1" w:styleId="FooterChar">
    <w:name w:val="Footer Char"/>
    <w:basedOn w:val="DefaultParagraphFont"/>
    <w:link w:val="Footer"/>
    <w:uiPriority w:val="99"/>
    <w:rsid w:val="00A95FA0"/>
    <w:rPr>
      <w:sz w:val="24"/>
      <w:szCs w:val="24"/>
    </w:rPr>
  </w:style>
  <w:style w:type="paragraph" w:styleId="BalloonText">
    <w:name w:val="Balloon Text"/>
    <w:basedOn w:val="Normal"/>
    <w:link w:val="BalloonTextChar"/>
    <w:rsid w:val="00A95FA0"/>
    <w:rPr>
      <w:rFonts w:ascii="Segoe UI" w:hAnsi="Segoe UI" w:cs="Segoe UI"/>
      <w:sz w:val="18"/>
      <w:szCs w:val="18"/>
    </w:rPr>
  </w:style>
  <w:style w:type="character" w:customStyle="1" w:styleId="BalloonTextChar">
    <w:name w:val="Balloon Text Char"/>
    <w:basedOn w:val="DefaultParagraphFont"/>
    <w:link w:val="BalloonText"/>
    <w:rsid w:val="00A95FA0"/>
    <w:rPr>
      <w:rFonts w:ascii="Segoe UI" w:hAnsi="Segoe UI" w:cs="Segoe UI"/>
      <w:sz w:val="18"/>
      <w:szCs w:val="18"/>
    </w:rPr>
  </w:style>
  <w:style w:type="paragraph" w:styleId="NormalWeb">
    <w:name w:val="Normal (Web)"/>
    <w:basedOn w:val="Normal"/>
    <w:uiPriority w:val="99"/>
    <w:unhideWhenUsed/>
    <w:rsid w:val="00F451A0"/>
    <w:pPr>
      <w:spacing w:before="100" w:beforeAutospacing="1" w:after="100" w:afterAutospacing="1"/>
    </w:pPr>
    <w:rPr>
      <w:lang w:val="en-US" w:eastAsia="en-US"/>
    </w:rPr>
  </w:style>
  <w:style w:type="character" w:styleId="Hyperlink">
    <w:name w:val="Hyperlink"/>
    <w:basedOn w:val="DefaultParagraphFont"/>
    <w:unhideWhenUsed/>
    <w:rsid w:val="00686A12"/>
    <w:rPr>
      <w:color w:val="0563C1" w:themeColor="hyperlink"/>
      <w:u w:val="single"/>
    </w:rPr>
  </w:style>
  <w:style w:type="paragraph" w:styleId="ListParagraph">
    <w:name w:val="List Paragraph"/>
    <w:basedOn w:val="Normal"/>
    <w:uiPriority w:val="34"/>
    <w:qFormat/>
    <w:rsid w:val="00686A12"/>
    <w:pPr>
      <w:ind w:left="720"/>
      <w:contextualSpacing/>
    </w:pPr>
  </w:style>
  <w:style w:type="paragraph" w:styleId="FootnoteText">
    <w:name w:val="footnote text"/>
    <w:basedOn w:val="Normal"/>
    <w:link w:val="FootnoteTextChar"/>
    <w:rsid w:val="00957901"/>
    <w:rPr>
      <w:sz w:val="20"/>
      <w:szCs w:val="20"/>
    </w:rPr>
  </w:style>
  <w:style w:type="character" w:customStyle="1" w:styleId="FootnoteTextChar">
    <w:name w:val="Footnote Text Char"/>
    <w:basedOn w:val="DefaultParagraphFont"/>
    <w:link w:val="FootnoteText"/>
    <w:rsid w:val="00957901"/>
  </w:style>
  <w:style w:type="character" w:styleId="FootnoteReference">
    <w:name w:val="footnote reference"/>
    <w:basedOn w:val="DefaultParagraphFont"/>
    <w:rsid w:val="00957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0143">
      <w:bodyDiv w:val="1"/>
      <w:marLeft w:val="0"/>
      <w:marRight w:val="0"/>
      <w:marTop w:val="0"/>
      <w:marBottom w:val="0"/>
      <w:divBdr>
        <w:top w:val="none" w:sz="0" w:space="0" w:color="auto"/>
        <w:left w:val="none" w:sz="0" w:space="0" w:color="auto"/>
        <w:bottom w:val="none" w:sz="0" w:space="0" w:color="auto"/>
        <w:right w:val="none" w:sz="0" w:space="0" w:color="auto"/>
      </w:divBdr>
    </w:div>
    <w:div w:id="235478020">
      <w:bodyDiv w:val="1"/>
      <w:marLeft w:val="0"/>
      <w:marRight w:val="0"/>
      <w:marTop w:val="0"/>
      <w:marBottom w:val="0"/>
      <w:divBdr>
        <w:top w:val="none" w:sz="0" w:space="0" w:color="auto"/>
        <w:left w:val="none" w:sz="0" w:space="0" w:color="auto"/>
        <w:bottom w:val="none" w:sz="0" w:space="0" w:color="auto"/>
        <w:right w:val="none" w:sz="0" w:space="0" w:color="auto"/>
      </w:divBdr>
    </w:div>
    <w:div w:id="816648953">
      <w:bodyDiv w:val="1"/>
      <w:marLeft w:val="0"/>
      <w:marRight w:val="0"/>
      <w:marTop w:val="0"/>
      <w:marBottom w:val="0"/>
      <w:divBdr>
        <w:top w:val="none" w:sz="0" w:space="0" w:color="auto"/>
        <w:left w:val="none" w:sz="0" w:space="0" w:color="auto"/>
        <w:bottom w:val="none" w:sz="0" w:space="0" w:color="auto"/>
        <w:right w:val="none" w:sz="0" w:space="0" w:color="auto"/>
      </w:divBdr>
    </w:div>
    <w:div w:id="1045905204">
      <w:bodyDiv w:val="1"/>
      <w:marLeft w:val="0"/>
      <w:marRight w:val="0"/>
      <w:marTop w:val="0"/>
      <w:marBottom w:val="0"/>
      <w:divBdr>
        <w:top w:val="none" w:sz="0" w:space="0" w:color="auto"/>
        <w:left w:val="none" w:sz="0" w:space="0" w:color="auto"/>
        <w:bottom w:val="none" w:sz="0" w:space="0" w:color="auto"/>
        <w:right w:val="none" w:sz="0" w:space="0" w:color="auto"/>
      </w:divBdr>
    </w:div>
    <w:div w:id="1147631167">
      <w:bodyDiv w:val="1"/>
      <w:marLeft w:val="0"/>
      <w:marRight w:val="0"/>
      <w:marTop w:val="0"/>
      <w:marBottom w:val="0"/>
      <w:divBdr>
        <w:top w:val="none" w:sz="0" w:space="0" w:color="auto"/>
        <w:left w:val="none" w:sz="0" w:space="0" w:color="auto"/>
        <w:bottom w:val="none" w:sz="0" w:space="0" w:color="auto"/>
        <w:right w:val="none" w:sz="0" w:space="0" w:color="auto"/>
      </w:divBdr>
    </w:div>
    <w:div w:id="1181628743">
      <w:bodyDiv w:val="1"/>
      <w:marLeft w:val="0"/>
      <w:marRight w:val="0"/>
      <w:marTop w:val="0"/>
      <w:marBottom w:val="0"/>
      <w:divBdr>
        <w:top w:val="none" w:sz="0" w:space="0" w:color="auto"/>
        <w:left w:val="none" w:sz="0" w:space="0" w:color="auto"/>
        <w:bottom w:val="none" w:sz="0" w:space="0" w:color="auto"/>
        <w:right w:val="none" w:sz="0" w:space="0" w:color="auto"/>
      </w:divBdr>
    </w:div>
    <w:div w:id="1427926422">
      <w:bodyDiv w:val="1"/>
      <w:marLeft w:val="0"/>
      <w:marRight w:val="0"/>
      <w:marTop w:val="0"/>
      <w:marBottom w:val="0"/>
      <w:divBdr>
        <w:top w:val="none" w:sz="0" w:space="0" w:color="auto"/>
        <w:left w:val="none" w:sz="0" w:space="0" w:color="auto"/>
        <w:bottom w:val="none" w:sz="0" w:space="0" w:color="auto"/>
        <w:right w:val="none" w:sz="0" w:space="0" w:color="auto"/>
      </w:divBdr>
    </w:div>
    <w:div w:id="1502547995">
      <w:bodyDiv w:val="1"/>
      <w:marLeft w:val="0"/>
      <w:marRight w:val="0"/>
      <w:marTop w:val="0"/>
      <w:marBottom w:val="0"/>
      <w:divBdr>
        <w:top w:val="none" w:sz="0" w:space="0" w:color="auto"/>
        <w:left w:val="none" w:sz="0" w:space="0" w:color="auto"/>
        <w:bottom w:val="none" w:sz="0" w:space="0" w:color="auto"/>
        <w:right w:val="none" w:sz="0" w:space="0" w:color="auto"/>
      </w:divBdr>
    </w:div>
    <w:div w:id="1588152503">
      <w:bodyDiv w:val="1"/>
      <w:marLeft w:val="0"/>
      <w:marRight w:val="0"/>
      <w:marTop w:val="0"/>
      <w:marBottom w:val="0"/>
      <w:divBdr>
        <w:top w:val="none" w:sz="0" w:space="0" w:color="auto"/>
        <w:left w:val="none" w:sz="0" w:space="0" w:color="auto"/>
        <w:bottom w:val="none" w:sz="0" w:space="0" w:color="auto"/>
        <w:right w:val="none" w:sz="0" w:space="0" w:color="auto"/>
      </w:divBdr>
    </w:div>
    <w:div w:id="1653871351">
      <w:bodyDiv w:val="1"/>
      <w:marLeft w:val="0"/>
      <w:marRight w:val="0"/>
      <w:marTop w:val="0"/>
      <w:marBottom w:val="0"/>
      <w:divBdr>
        <w:top w:val="none" w:sz="0" w:space="0" w:color="auto"/>
        <w:left w:val="none" w:sz="0" w:space="0" w:color="auto"/>
        <w:bottom w:val="none" w:sz="0" w:space="0" w:color="auto"/>
        <w:right w:val="none" w:sz="0" w:space="0" w:color="auto"/>
      </w:divBdr>
    </w:div>
    <w:div w:id="1712028268">
      <w:bodyDiv w:val="1"/>
      <w:marLeft w:val="0"/>
      <w:marRight w:val="0"/>
      <w:marTop w:val="0"/>
      <w:marBottom w:val="0"/>
      <w:divBdr>
        <w:top w:val="none" w:sz="0" w:space="0" w:color="auto"/>
        <w:left w:val="none" w:sz="0" w:space="0" w:color="auto"/>
        <w:bottom w:val="none" w:sz="0" w:space="0" w:color="auto"/>
        <w:right w:val="none" w:sz="0" w:space="0" w:color="auto"/>
      </w:divBdr>
    </w:div>
    <w:div w:id="1714503291">
      <w:bodyDiv w:val="1"/>
      <w:marLeft w:val="0"/>
      <w:marRight w:val="0"/>
      <w:marTop w:val="0"/>
      <w:marBottom w:val="0"/>
      <w:divBdr>
        <w:top w:val="none" w:sz="0" w:space="0" w:color="auto"/>
        <w:left w:val="none" w:sz="0" w:space="0" w:color="auto"/>
        <w:bottom w:val="none" w:sz="0" w:space="0" w:color="auto"/>
        <w:right w:val="none" w:sz="0" w:space="0" w:color="auto"/>
      </w:divBdr>
    </w:div>
    <w:div w:id="1783958835">
      <w:bodyDiv w:val="1"/>
      <w:marLeft w:val="0"/>
      <w:marRight w:val="0"/>
      <w:marTop w:val="0"/>
      <w:marBottom w:val="0"/>
      <w:divBdr>
        <w:top w:val="none" w:sz="0" w:space="0" w:color="auto"/>
        <w:left w:val="none" w:sz="0" w:space="0" w:color="auto"/>
        <w:bottom w:val="none" w:sz="0" w:space="0" w:color="auto"/>
        <w:right w:val="none" w:sz="0" w:space="0" w:color="auto"/>
      </w:divBdr>
    </w:div>
    <w:div w:id="1926838001">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20545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uropa.eu/en/publication-detail/-/publication/c312c468-c7e0-11ea-adf7-01aa75ed71a1/languag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zs.hr/Hrv_Eng/publication/2020/14-01-01_01_2020.htm" TargetMode="External"/><Relationship Id="rId4" Type="http://schemas.openxmlformats.org/officeDocument/2006/relationships/settings" Target="settings.xml"/><Relationship Id="rId9" Type="http://schemas.openxmlformats.org/officeDocument/2006/relationships/hyperlink" Target="https://op.europa.eu/en/publication-detail/-/publication/fb5ea446-ad4e-11eb-9767-01aa75ed71a1/language-c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ms.hr/hr/publikacije/obrazovanje-djece-trazitelja-azila-ne-spremnost-na-kvalitetno-ukljucivanje-u-obrazovni-sustav" TargetMode="External"/><Relationship Id="rId1" Type="http://schemas.openxmlformats.org/officeDocument/2006/relationships/hyperlink" Target="https://pravamanjina.gov.hr/UserDocsImages/dokumenti/Uklju%C4%8Divanje%20Roma%20u%20hrvatsko%20dru%C5%A1tvo%20-%20istra%C5%BEivanje%20baznih%20podatak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8CE3-DB03-47DD-8267-2A819741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3520</Words>
  <Characters>21484</Characters>
  <Application>Microsoft Office Word</Application>
  <DocSecurity>4</DocSecurity>
  <Lines>179</Lines>
  <Paragraphs>49</Paragraphs>
  <ScaleCrop>false</ScaleCrop>
  <HeadingPairs>
    <vt:vector size="2" baseType="variant">
      <vt:variant>
        <vt:lpstr>Title</vt:lpstr>
      </vt:variant>
      <vt:variant>
        <vt:i4>1</vt:i4>
      </vt:variant>
    </vt:vector>
  </HeadingPairs>
  <TitlesOfParts>
    <vt:vector size="1" baseType="lpstr">
      <vt:lpstr>OBRAZAC</vt:lpstr>
    </vt:vector>
  </TitlesOfParts>
  <Company>Grad Zagreb</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azenko</dc:creator>
  <cp:keywords/>
  <cp:lastModifiedBy>Valentina Udarović</cp:lastModifiedBy>
  <cp:revision>2</cp:revision>
  <cp:lastPrinted>2021-10-25T06:29:00Z</cp:lastPrinted>
  <dcterms:created xsi:type="dcterms:W3CDTF">2021-10-25T07:03:00Z</dcterms:created>
  <dcterms:modified xsi:type="dcterms:W3CDTF">2021-10-25T07:03:00Z</dcterms:modified>
</cp:coreProperties>
</file>